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665863438" w:displacedByCustomXml="next"/>
    <w:sdt>
      <w:sdtPr>
        <w:id w:val="-782503129"/>
        <w:docPartObj>
          <w:docPartGallery w:val="Table of Contents"/>
          <w:docPartUnique/>
        </w:docPartObj>
      </w:sdtPr>
      <w:sdtEndPr>
        <w:rPr>
          <w:b/>
          <w:bCs/>
          <w:noProof/>
        </w:rPr>
      </w:sdtEndPr>
      <w:sdtContent>
        <w:p w14:paraId="21614496" w14:textId="77777777" w:rsidR="00DA5128" w:rsidRDefault="009932F3">
          <w:r>
            <w:rPr>
              <w:noProof/>
            </w:rPr>
            <mc:AlternateContent>
              <mc:Choice Requires="wps">
                <w:drawing>
                  <wp:anchor distT="0" distB="0" distL="114300" distR="114300" simplePos="0" relativeHeight="251659264" behindDoc="0" locked="0" layoutInCell="1" allowOverlap="1" wp14:anchorId="512FCE51" wp14:editId="320AE88C">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14:paraId="1C20F289" w14:textId="77777777" w:rsidR="00DA5128" w:rsidRPr="00DC6E23" w:rsidRDefault="009932F3">
                                <w:pPr>
                                  <w:contextualSpacing/>
                                  <w:rPr>
                                    <w:lang w:val="fr-FR"/>
                                  </w:rPr>
                                </w:pPr>
                                <w:r>
                                  <w:rPr>
                                    <w:noProof/>
                                    <w:position w:val="-6"/>
                                  </w:rPr>
                                  <w:drawing>
                                    <wp:inline distT="0" distB="0" distL="0" distR="0" wp14:anchorId="678804A5" wp14:editId="68271A36">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DC6E23">
                                  <w:rPr>
                                    <w:rFonts w:ascii="Roboto" w:hAnsi="Roboto"/>
                                    <w:color w:val="0F2B46"/>
                                    <w:szCs w:val="18"/>
                                    <w:lang w:val="fr-FR"/>
                                  </w:rPr>
                                  <w:t xml:space="preserve"> </w:t>
                                </w:r>
                                <w:hyperlink r:id="rId12" w:tooltip="Doc Translator - www.onlinedoctranslator.com" w:history="1">
                                  <w:r w:rsidRPr="00DC6E23">
                                    <w:rPr>
                                      <w:rFonts w:ascii="Roboto" w:hAnsi="Roboto"/>
                                      <w:color w:val="0F2B46"/>
                                      <w:sz w:val="18"/>
                                      <w:szCs w:val="18"/>
                                      <w:lang w:val="fr-FR"/>
                                    </w:rPr>
                                    <w:t xml:space="preserve">Traduit de Anglais vers Français - </w:t>
                                  </w:r>
                                  <w:r w:rsidRPr="00DC6E23">
                                    <w:rPr>
                                      <w:rFonts w:ascii="Roboto" w:hAnsi="Roboto"/>
                                      <w:color w:val="0F2B46"/>
                                      <w:sz w:val="18"/>
                                      <w:szCs w:val="18"/>
                                      <w:u w:val="single"/>
                                      <w:lang w:val="fr-FR"/>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w14:anchorId="512FCE51"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" fillcolor="#f2f2f2" stroked="f">
                    <v:textbox inset=",0,,0">
                      <w:txbxContent>
                        <w:p w14:paraId="1C20F289" w14:textId="77777777" w:rsidR="00DA5128" w:rsidRPr="00DC6E23" w:rsidRDefault="009932F3">
                          <w:pPr>
                            <w:contextualSpacing/>
                            <w:rPr>
                              <w:lang w:val="fr-FR"/>
                            </w:rPr>
                          </w:pPr>
                          <w:r>
                            <w:rPr>
                              <w:noProof/>
                              <w:position w:val="-6"/>
                            </w:rPr>
                            <w:drawing>
                              <wp:inline distT="0" distB="0" distL="0" distR="0" wp14:anchorId="678804A5" wp14:editId="68271A36">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DC6E23">
                            <w:rPr>
                              <w:rFonts w:ascii="Roboto" w:hAnsi="Roboto"/>
                              <w:color w:val="0F2B46"/>
                              <w:szCs w:val="18"/>
                              <w:lang w:val="fr-FR"/>
                            </w:rPr>
                            <w:t xml:space="preserve"> </w:t>
                          </w:r>
                          <w:hyperlink r:id="rId13" w:tooltip="Doc Translator - www.onlinedoctranslator.com" w:history="1">
                            <w:r w:rsidRPr="00DC6E23">
                              <w:rPr>
                                <w:rFonts w:ascii="Roboto" w:hAnsi="Roboto"/>
                                <w:color w:val="0F2B46"/>
                                <w:sz w:val="18"/>
                                <w:szCs w:val="18"/>
                                <w:lang w:val="fr-FR"/>
                              </w:rPr>
                              <w:t xml:space="preserve">Traduit de Anglais vers Français - </w:t>
                            </w:r>
                            <w:r w:rsidRPr="00DC6E23">
                              <w:rPr>
                                <w:rFonts w:ascii="Roboto" w:hAnsi="Roboto"/>
                                <w:color w:val="0F2B46"/>
                                <w:sz w:val="18"/>
                                <w:szCs w:val="18"/>
                                <w:u w:val="single"/>
                                <w:lang w:val="fr-FR"/>
                              </w:rPr>
                              <w:t>www.onlinedoctranslator.com</w:t>
                            </w:r>
                          </w:hyperlink>
                        </w:p>
                      </w:txbxContent>
                    </v:textbox>
                    <w10:wrap anchorx="margin" anchory="page"/>
                  </v:shape>
                </w:pict>
              </mc:Fallback>
            </mc:AlternateContent>
          </w:r>
        </w:p>
        <w:p w14:paraId="2C50BA96" w14:textId="01F32A65" w:rsidR="00772F8B" w:rsidRDefault="00772F8B">
          <w:pPr>
            <w:pStyle w:val="En-ttedetabledesmatires"/>
          </w:pPr>
          <w:proofErr w:type="spellStart"/>
          <w:r w:rsidRPr="2FF8E5A1">
            <w:rPr>
              <w:lang w:val="en-US"/>
            </w:rPr>
            <w:t>Contenu</w:t>
          </w:r>
          <w:proofErr w:type="spellEnd"/>
        </w:p>
        <w:p w14:paraId="1C0668F3" w14:textId="0C6A0CB5" w:rsidR="000412E3" w:rsidRDefault="00772F8B">
          <w:pPr>
            <w:pStyle w:val="TM2"/>
            <w:tabs>
              <w:tab w:val="left" w:pos="720"/>
              <w:tab w:val="right" w:leader="dot" w:pos="9062"/>
            </w:tabs>
            <w:rPr>
              <w:rFonts w:asciiTheme="minorHAnsi" w:eastAsiaTheme="minorEastAsia" w:hAnsiTheme="minorHAnsi" w:cstheme="minorBidi"/>
              <w:noProof/>
              <w:kern w:val="2"/>
              <w:sz w:val="24"/>
              <w:lang w:val="nb-NO" w:eastAsia="nb-NO"/>
              <w14:ligatures w14:val="standardContextual"/>
            </w:rPr>
          </w:pPr>
          <w:r>
            <w:fldChar w:fldCharType="begin"/>
          </w:r>
          <w:r>
            <w:instrText xml:space="preserve"> TOC \o "1-3" \h \z \u </w:instrText>
          </w:r>
          <w:r>
            <w:fldChar w:fldCharType="separate"/>
          </w:r>
          <w:hyperlink w:anchor="_Toc203392795" w:history="1">
            <w:r w:rsidR="000412E3" w:rsidRPr="003B5DC4">
              <w:rPr>
                <w:rStyle w:val="Lienhypertexte"/>
                <w:noProof/>
                <w:lang w:val="en-GB"/>
              </w:rPr>
              <w:t>1.</w:t>
            </w:r>
            <w:r w:rsidR="000412E3">
              <w:rPr>
                <w:rFonts w:asciiTheme="minorHAnsi" w:eastAsiaTheme="minorEastAsia" w:hAnsiTheme="minorHAnsi" w:cstheme="minorBidi"/>
                <w:noProof/>
                <w:kern w:val="2"/>
                <w:sz w:val="24"/>
                <w:lang w:val="nb-NO" w:eastAsia="nb-NO"/>
                <w14:ligatures w14:val="standardContextual"/>
              </w:rPr>
              <w:tab/>
            </w:r>
            <w:r w:rsidR="000412E3" w:rsidRPr="003B5DC4">
              <w:rPr>
                <w:rStyle w:val="Lienhypertexte"/>
                <w:noProof/>
              </w:rPr>
              <w:t>Contexte</w:t>
            </w:r>
            <w:r w:rsidR="000412E3">
              <w:rPr>
                <w:noProof/>
                <w:webHidden/>
              </w:rPr>
              <w:tab/>
            </w:r>
            <w:r w:rsidR="000412E3">
              <w:rPr>
                <w:noProof/>
                <w:webHidden/>
              </w:rPr>
              <w:fldChar w:fldCharType="begin"/>
            </w:r>
            <w:r w:rsidR="000412E3">
              <w:rPr>
                <w:noProof/>
                <w:webHidden/>
              </w:rPr>
              <w:instrText xml:space="preserve"> PAGEREF _Toc203392795 \h </w:instrText>
            </w:r>
            <w:r w:rsidR="000412E3">
              <w:rPr>
                <w:noProof/>
                <w:webHidden/>
              </w:rPr>
            </w:r>
            <w:r w:rsidR="000412E3">
              <w:rPr>
                <w:noProof/>
                <w:webHidden/>
              </w:rPr>
              <w:fldChar w:fldCharType="separate"/>
            </w:r>
            <w:r w:rsidR="000A6C96">
              <w:rPr>
                <w:noProof/>
                <w:webHidden/>
              </w:rPr>
              <w:t>3</w:t>
            </w:r>
            <w:r w:rsidR="000412E3">
              <w:rPr>
                <w:noProof/>
                <w:webHidden/>
              </w:rPr>
              <w:fldChar w:fldCharType="end"/>
            </w:r>
          </w:hyperlink>
        </w:p>
        <w:p w14:paraId="3CF4FC3B" w14:textId="3DD469A1" w:rsidR="000412E3" w:rsidRDefault="000412E3">
          <w:pPr>
            <w:pStyle w:val="TM2"/>
            <w:tabs>
              <w:tab w:val="left" w:pos="720"/>
              <w:tab w:val="right" w:leader="dot" w:pos="9062"/>
            </w:tabs>
            <w:rPr>
              <w:rFonts w:asciiTheme="minorHAnsi" w:eastAsiaTheme="minorEastAsia" w:hAnsiTheme="minorHAnsi" w:cstheme="minorBidi"/>
              <w:noProof/>
              <w:kern w:val="2"/>
              <w:sz w:val="24"/>
              <w:lang w:val="nb-NO" w:eastAsia="nb-NO"/>
              <w14:ligatures w14:val="standardContextual"/>
            </w:rPr>
          </w:pPr>
          <w:hyperlink w:anchor="_Toc203392796" w:history="1">
            <w:r w:rsidRPr="003B5DC4">
              <w:rPr>
                <w:rStyle w:val="Lienhypertexte"/>
                <w:noProof/>
              </w:rPr>
              <w:t>2.</w:t>
            </w:r>
            <w:r>
              <w:rPr>
                <w:rFonts w:asciiTheme="minorHAnsi" w:eastAsiaTheme="minorEastAsia" w:hAnsiTheme="minorHAnsi" w:cstheme="minorBidi"/>
                <w:noProof/>
                <w:kern w:val="2"/>
                <w:sz w:val="24"/>
                <w:lang w:val="nb-NO" w:eastAsia="nb-NO"/>
                <w14:ligatures w14:val="standardContextual"/>
              </w:rPr>
              <w:tab/>
            </w:r>
            <w:r w:rsidRPr="003B5DC4">
              <w:rPr>
                <w:rStyle w:val="Lienhypertexte"/>
                <w:noProof/>
              </w:rPr>
              <w:t>Prévisions du marché du fer</w:t>
            </w:r>
            <w:r>
              <w:rPr>
                <w:noProof/>
                <w:webHidden/>
              </w:rPr>
              <w:tab/>
            </w:r>
            <w:r>
              <w:rPr>
                <w:noProof/>
                <w:webHidden/>
              </w:rPr>
              <w:fldChar w:fldCharType="begin"/>
            </w:r>
            <w:r>
              <w:rPr>
                <w:noProof/>
                <w:webHidden/>
              </w:rPr>
              <w:instrText xml:space="preserve"> PAGEREF _Toc203392796 \h </w:instrText>
            </w:r>
            <w:r>
              <w:rPr>
                <w:noProof/>
                <w:webHidden/>
              </w:rPr>
            </w:r>
            <w:r>
              <w:rPr>
                <w:noProof/>
                <w:webHidden/>
              </w:rPr>
              <w:fldChar w:fldCharType="separate"/>
            </w:r>
            <w:r w:rsidR="000A6C96">
              <w:rPr>
                <w:noProof/>
                <w:webHidden/>
              </w:rPr>
              <w:t>4</w:t>
            </w:r>
            <w:r>
              <w:rPr>
                <w:noProof/>
                <w:webHidden/>
              </w:rPr>
              <w:fldChar w:fldCharType="end"/>
            </w:r>
          </w:hyperlink>
        </w:p>
        <w:p w14:paraId="1D7D47FD" w14:textId="273ABED9" w:rsidR="000412E3" w:rsidRDefault="000412E3">
          <w:pPr>
            <w:pStyle w:val="TM2"/>
            <w:tabs>
              <w:tab w:val="left" w:pos="720"/>
              <w:tab w:val="right" w:leader="dot" w:pos="9062"/>
            </w:tabs>
            <w:rPr>
              <w:rFonts w:asciiTheme="minorHAnsi" w:eastAsiaTheme="minorEastAsia" w:hAnsiTheme="minorHAnsi" w:cstheme="minorBidi"/>
              <w:noProof/>
              <w:kern w:val="2"/>
              <w:sz w:val="24"/>
              <w:lang w:val="nb-NO" w:eastAsia="nb-NO"/>
              <w14:ligatures w14:val="standardContextual"/>
            </w:rPr>
          </w:pPr>
          <w:hyperlink w:anchor="_Toc203392797" w:history="1">
            <w:r w:rsidRPr="003B5DC4">
              <w:rPr>
                <w:rStyle w:val="Lienhypertexte"/>
                <w:noProof/>
              </w:rPr>
              <w:t>3.</w:t>
            </w:r>
            <w:r>
              <w:rPr>
                <w:rFonts w:asciiTheme="minorHAnsi" w:eastAsiaTheme="minorEastAsia" w:hAnsiTheme="minorHAnsi" w:cstheme="minorBidi"/>
                <w:noProof/>
                <w:kern w:val="2"/>
                <w:sz w:val="24"/>
                <w:lang w:val="nb-NO" w:eastAsia="nb-NO"/>
                <w14:ligatures w14:val="standardContextual"/>
              </w:rPr>
              <w:tab/>
            </w:r>
            <w:r w:rsidRPr="003B5DC4">
              <w:rPr>
                <w:rStyle w:val="Lienhypertexte"/>
                <w:noProof/>
              </w:rPr>
              <w:t>Méthodologie utilisée pour le modèle financier</w:t>
            </w:r>
            <w:r>
              <w:rPr>
                <w:noProof/>
                <w:webHidden/>
              </w:rPr>
              <w:tab/>
            </w:r>
            <w:r>
              <w:rPr>
                <w:noProof/>
                <w:webHidden/>
              </w:rPr>
              <w:fldChar w:fldCharType="begin"/>
            </w:r>
            <w:r>
              <w:rPr>
                <w:noProof/>
                <w:webHidden/>
              </w:rPr>
              <w:instrText xml:space="preserve"> PAGEREF _Toc203392797 \h </w:instrText>
            </w:r>
            <w:r>
              <w:rPr>
                <w:noProof/>
                <w:webHidden/>
              </w:rPr>
            </w:r>
            <w:r>
              <w:rPr>
                <w:noProof/>
                <w:webHidden/>
              </w:rPr>
              <w:fldChar w:fldCharType="separate"/>
            </w:r>
            <w:r w:rsidR="000A6C96">
              <w:rPr>
                <w:noProof/>
                <w:webHidden/>
              </w:rPr>
              <w:t>6</w:t>
            </w:r>
            <w:r>
              <w:rPr>
                <w:noProof/>
                <w:webHidden/>
              </w:rPr>
              <w:fldChar w:fldCharType="end"/>
            </w:r>
          </w:hyperlink>
        </w:p>
        <w:p w14:paraId="6A3F859B" w14:textId="200CD96C" w:rsidR="000412E3" w:rsidRDefault="000412E3">
          <w:pPr>
            <w:pStyle w:val="TM2"/>
            <w:tabs>
              <w:tab w:val="left" w:pos="720"/>
              <w:tab w:val="right" w:leader="dot" w:pos="9062"/>
            </w:tabs>
            <w:rPr>
              <w:rFonts w:asciiTheme="minorHAnsi" w:eastAsiaTheme="minorEastAsia" w:hAnsiTheme="minorHAnsi" w:cstheme="minorBidi"/>
              <w:noProof/>
              <w:kern w:val="2"/>
              <w:sz w:val="24"/>
              <w:lang w:val="nb-NO" w:eastAsia="nb-NO"/>
              <w14:ligatures w14:val="standardContextual"/>
            </w:rPr>
          </w:pPr>
          <w:hyperlink w:anchor="_Toc203392798" w:history="1">
            <w:r w:rsidRPr="003B5DC4">
              <w:rPr>
                <w:rStyle w:val="Lienhypertexte"/>
                <w:noProof/>
                <w:lang w:val="en-US"/>
              </w:rPr>
              <w:t>4.</w:t>
            </w:r>
            <w:r>
              <w:rPr>
                <w:rFonts w:asciiTheme="minorHAnsi" w:eastAsiaTheme="minorEastAsia" w:hAnsiTheme="minorHAnsi" w:cstheme="minorBidi"/>
                <w:noProof/>
                <w:kern w:val="2"/>
                <w:sz w:val="24"/>
                <w:lang w:val="nb-NO" w:eastAsia="nb-NO"/>
                <w14:ligatures w14:val="standardContextual"/>
              </w:rPr>
              <w:tab/>
            </w:r>
            <w:r w:rsidRPr="003B5DC4">
              <w:rPr>
                <w:rStyle w:val="Lienhypertexte"/>
                <w:noProof/>
                <w:lang w:val="en-US"/>
              </w:rPr>
              <w:t>Résultats du modèle FARI</w:t>
            </w:r>
            <w:r>
              <w:rPr>
                <w:noProof/>
                <w:webHidden/>
              </w:rPr>
              <w:tab/>
            </w:r>
            <w:r>
              <w:rPr>
                <w:noProof/>
                <w:webHidden/>
              </w:rPr>
              <w:fldChar w:fldCharType="begin"/>
            </w:r>
            <w:r>
              <w:rPr>
                <w:noProof/>
                <w:webHidden/>
              </w:rPr>
              <w:instrText xml:space="preserve"> PAGEREF _Toc203392798 \h </w:instrText>
            </w:r>
            <w:r>
              <w:rPr>
                <w:noProof/>
                <w:webHidden/>
              </w:rPr>
            </w:r>
            <w:r>
              <w:rPr>
                <w:noProof/>
                <w:webHidden/>
              </w:rPr>
              <w:fldChar w:fldCharType="separate"/>
            </w:r>
            <w:r w:rsidR="000A6C96">
              <w:rPr>
                <w:noProof/>
                <w:webHidden/>
              </w:rPr>
              <w:t>13</w:t>
            </w:r>
            <w:r>
              <w:rPr>
                <w:noProof/>
                <w:webHidden/>
              </w:rPr>
              <w:fldChar w:fldCharType="end"/>
            </w:r>
          </w:hyperlink>
        </w:p>
        <w:p w14:paraId="21F57D34" w14:textId="4EDBEBFE" w:rsidR="000412E3" w:rsidRDefault="000412E3">
          <w:pPr>
            <w:pStyle w:val="TM2"/>
            <w:tabs>
              <w:tab w:val="left" w:pos="720"/>
              <w:tab w:val="right" w:leader="dot" w:pos="9062"/>
            </w:tabs>
            <w:rPr>
              <w:rFonts w:asciiTheme="minorHAnsi" w:eastAsiaTheme="minorEastAsia" w:hAnsiTheme="minorHAnsi" w:cstheme="minorBidi"/>
              <w:noProof/>
              <w:kern w:val="2"/>
              <w:sz w:val="24"/>
              <w:lang w:val="nb-NO" w:eastAsia="nb-NO"/>
              <w14:ligatures w14:val="standardContextual"/>
            </w:rPr>
          </w:pPr>
          <w:hyperlink w:anchor="_Toc203392799" w:history="1">
            <w:r w:rsidRPr="003B5DC4">
              <w:rPr>
                <w:rStyle w:val="Lienhypertexte"/>
                <w:noProof/>
                <w:lang w:val="nb-NO"/>
              </w:rPr>
              <w:t>5.</w:t>
            </w:r>
            <w:r>
              <w:rPr>
                <w:rFonts w:asciiTheme="minorHAnsi" w:eastAsiaTheme="minorEastAsia" w:hAnsiTheme="minorHAnsi" w:cstheme="minorBidi"/>
                <w:noProof/>
                <w:kern w:val="2"/>
                <w:sz w:val="24"/>
                <w:lang w:val="nb-NO" w:eastAsia="nb-NO"/>
                <w14:ligatures w14:val="standardContextual"/>
              </w:rPr>
              <w:tab/>
            </w:r>
            <w:r w:rsidRPr="003B5DC4">
              <w:rPr>
                <w:rStyle w:val="Lienhypertexte"/>
                <w:noProof/>
              </w:rPr>
              <w:t>Recommandations et prochaines étapes</w:t>
            </w:r>
            <w:r>
              <w:rPr>
                <w:noProof/>
                <w:webHidden/>
              </w:rPr>
              <w:tab/>
            </w:r>
            <w:r>
              <w:rPr>
                <w:noProof/>
                <w:webHidden/>
              </w:rPr>
              <w:fldChar w:fldCharType="begin"/>
            </w:r>
            <w:r>
              <w:rPr>
                <w:noProof/>
                <w:webHidden/>
              </w:rPr>
              <w:instrText xml:space="preserve"> PAGEREF _Toc203392799 \h </w:instrText>
            </w:r>
            <w:r>
              <w:rPr>
                <w:noProof/>
                <w:webHidden/>
              </w:rPr>
            </w:r>
            <w:r>
              <w:rPr>
                <w:noProof/>
                <w:webHidden/>
              </w:rPr>
              <w:fldChar w:fldCharType="separate"/>
            </w:r>
            <w:r w:rsidR="000A6C96">
              <w:rPr>
                <w:noProof/>
                <w:webHidden/>
              </w:rPr>
              <w:t>18</w:t>
            </w:r>
            <w:r>
              <w:rPr>
                <w:noProof/>
                <w:webHidden/>
              </w:rPr>
              <w:fldChar w:fldCharType="end"/>
            </w:r>
          </w:hyperlink>
        </w:p>
        <w:p w14:paraId="61D0EAF6" w14:textId="21B3186E" w:rsidR="000412E3" w:rsidRDefault="000412E3">
          <w:pPr>
            <w:pStyle w:val="TM2"/>
            <w:tabs>
              <w:tab w:val="right" w:leader="dot" w:pos="9062"/>
            </w:tabs>
            <w:rPr>
              <w:rFonts w:asciiTheme="minorHAnsi" w:eastAsiaTheme="minorEastAsia" w:hAnsiTheme="minorHAnsi" w:cstheme="minorBidi"/>
              <w:noProof/>
              <w:kern w:val="2"/>
              <w:sz w:val="24"/>
              <w:lang w:val="nb-NO" w:eastAsia="nb-NO"/>
              <w14:ligatures w14:val="standardContextual"/>
            </w:rPr>
          </w:pPr>
          <w:hyperlink w:anchor="_Toc203392800" w:history="1">
            <w:r w:rsidRPr="003B5DC4">
              <w:rPr>
                <w:rStyle w:val="Lienhypertexte"/>
                <w:noProof/>
              </w:rPr>
              <w:t>Annexe : Calendrier et livrables</w:t>
            </w:r>
            <w:r>
              <w:rPr>
                <w:noProof/>
                <w:webHidden/>
              </w:rPr>
              <w:tab/>
            </w:r>
            <w:r>
              <w:rPr>
                <w:noProof/>
                <w:webHidden/>
              </w:rPr>
              <w:fldChar w:fldCharType="begin"/>
            </w:r>
            <w:r>
              <w:rPr>
                <w:noProof/>
                <w:webHidden/>
              </w:rPr>
              <w:instrText xml:space="preserve"> PAGEREF _Toc203392800 \h </w:instrText>
            </w:r>
            <w:r>
              <w:rPr>
                <w:noProof/>
                <w:webHidden/>
              </w:rPr>
              <w:fldChar w:fldCharType="separate"/>
            </w:r>
            <w:r w:rsidR="000A6C96">
              <w:rPr>
                <w:b/>
                <w:bCs/>
                <w:noProof/>
                <w:webHidden/>
                <w:lang w:val="fr-FR"/>
              </w:rPr>
              <w:t>Erreur ! Signet non défini.</w:t>
            </w:r>
            <w:r>
              <w:rPr>
                <w:noProof/>
                <w:webHidden/>
              </w:rPr>
              <w:fldChar w:fldCharType="end"/>
            </w:r>
          </w:hyperlink>
        </w:p>
        <w:p w14:paraId="3012D5C6" w14:textId="768A9731" w:rsidR="00772F8B" w:rsidRPr="00733985" w:rsidRDefault="00772F8B">
          <w:pPr>
            <w:rPr>
              <w:b/>
              <w:bCs/>
              <w:noProof/>
            </w:rPr>
          </w:pPr>
          <w:r>
            <w:rPr>
              <w:b/>
              <w:bCs/>
              <w:noProof/>
            </w:rPr>
            <w:fldChar w:fldCharType="end"/>
          </w:r>
        </w:p>
      </w:sdtContent>
    </w:sdt>
    <w:bookmarkEnd w:id="0"/>
    <w:p w14:paraId="71501BA0" w14:textId="77777777" w:rsidR="006F244C" w:rsidRDefault="006F244C" w:rsidP="00C31074">
      <w:pPr>
        <w:rPr>
          <w:lang w:val="en-GB"/>
        </w:rPr>
      </w:pPr>
    </w:p>
    <w:p w14:paraId="55895D7E" w14:textId="77777777" w:rsidR="006F244C" w:rsidRDefault="006F244C" w:rsidP="00C31074">
      <w:pPr>
        <w:rPr>
          <w:lang w:val="en-GB"/>
        </w:rPr>
      </w:pPr>
    </w:p>
    <w:p w14:paraId="1FEAB87A" w14:textId="77777777" w:rsidR="006F244C" w:rsidRDefault="006F244C" w:rsidP="00C31074">
      <w:pPr>
        <w:rPr>
          <w:lang w:val="en-GB"/>
        </w:rPr>
      </w:pPr>
    </w:p>
    <w:p w14:paraId="7646EA0A" w14:textId="77777777" w:rsidR="006F244C" w:rsidRDefault="006F244C" w:rsidP="00C31074">
      <w:pPr>
        <w:rPr>
          <w:lang w:val="en-GB"/>
        </w:rPr>
      </w:pPr>
    </w:p>
    <w:p w14:paraId="51BF0FA4" w14:textId="77777777" w:rsidR="006F244C" w:rsidRDefault="006F244C" w:rsidP="00C31074">
      <w:pPr>
        <w:rPr>
          <w:lang w:val="en-GB"/>
        </w:rPr>
      </w:pPr>
    </w:p>
    <w:p w14:paraId="727DCB9C" w14:textId="77777777" w:rsidR="006F244C" w:rsidRDefault="006F244C" w:rsidP="00C31074">
      <w:pPr>
        <w:rPr>
          <w:lang w:val="en-GB"/>
        </w:rPr>
      </w:pPr>
    </w:p>
    <w:p w14:paraId="173FDB01" w14:textId="77777777" w:rsidR="006F244C" w:rsidRDefault="006F244C" w:rsidP="00C31074">
      <w:pPr>
        <w:rPr>
          <w:lang w:val="en-GB"/>
        </w:rPr>
      </w:pPr>
    </w:p>
    <w:p w14:paraId="0E25A281" w14:textId="77777777" w:rsidR="006F244C" w:rsidRDefault="006F244C" w:rsidP="00C31074">
      <w:pPr>
        <w:rPr>
          <w:lang w:val="en-GB"/>
        </w:rPr>
      </w:pPr>
    </w:p>
    <w:p w14:paraId="7AF5DF8C" w14:textId="77777777" w:rsidR="006F244C" w:rsidRDefault="006F244C" w:rsidP="00C31074">
      <w:pPr>
        <w:rPr>
          <w:lang w:val="en-GB"/>
        </w:rPr>
      </w:pPr>
    </w:p>
    <w:p w14:paraId="46937904" w14:textId="77777777" w:rsidR="006F244C" w:rsidRDefault="006F244C" w:rsidP="00C31074">
      <w:pPr>
        <w:rPr>
          <w:lang w:val="en-GB"/>
        </w:rPr>
      </w:pPr>
    </w:p>
    <w:p w14:paraId="7E5FC019" w14:textId="77777777" w:rsidR="006F244C" w:rsidRDefault="006F244C" w:rsidP="00C31074">
      <w:pPr>
        <w:rPr>
          <w:lang w:val="en-GB"/>
        </w:rPr>
      </w:pPr>
    </w:p>
    <w:p w14:paraId="143E9ED2" w14:textId="77777777" w:rsidR="006F244C" w:rsidRDefault="006F244C" w:rsidP="00C31074">
      <w:pPr>
        <w:rPr>
          <w:lang w:val="en-GB"/>
        </w:rPr>
      </w:pPr>
    </w:p>
    <w:p w14:paraId="0D5BDBDE" w14:textId="77777777" w:rsidR="006F244C" w:rsidRDefault="006F244C" w:rsidP="00C31074">
      <w:pPr>
        <w:rPr>
          <w:lang w:val="en-GB"/>
        </w:rPr>
      </w:pPr>
    </w:p>
    <w:p w14:paraId="6C2D129C" w14:textId="77777777" w:rsidR="006F244C" w:rsidRDefault="006F244C" w:rsidP="00C31074">
      <w:pPr>
        <w:rPr>
          <w:lang w:val="en-GB"/>
        </w:rPr>
      </w:pPr>
    </w:p>
    <w:p w14:paraId="237D22EE" w14:textId="77777777" w:rsidR="006F244C" w:rsidRDefault="006F244C" w:rsidP="00C31074">
      <w:pPr>
        <w:rPr>
          <w:lang w:val="en-GB"/>
        </w:rPr>
      </w:pPr>
    </w:p>
    <w:p w14:paraId="4C3426F2" w14:textId="77777777" w:rsidR="006F244C" w:rsidRDefault="006F244C" w:rsidP="00C31074">
      <w:pPr>
        <w:rPr>
          <w:lang w:val="en-GB"/>
        </w:rPr>
      </w:pPr>
    </w:p>
    <w:p w14:paraId="7790E2CA" w14:textId="77777777" w:rsidR="006F244C" w:rsidRDefault="006F244C" w:rsidP="00C31074">
      <w:pPr>
        <w:rPr>
          <w:lang w:val="en-GB"/>
        </w:rPr>
      </w:pPr>
    </w:p>
    <w:p w14:paraId="583C9746" w14:textId="77777777" w:rsidR="006F244C" w:rsidRDefault="006F244C" w:rsidP="00C31074">
      <w:pPr>
        <w:rPr>
          <w:lang w:val="en-GB"/>
        </w:rPr>
      </w:pPr>
    </w:p>
    <w:p w14:paraId="140F8DEB" w14:textId="2EBF212B" w:rsidR="00092532" w:rsidRPr="00DC6E23" w:rsidRDefault="311AD1E0" w:rsidP="00092532">
      <w:pPr>
        <w:rPr>
          <w:b/>
          <w:bCs/>
          <w:lang w:val="fr-FR"/>
        </w:rPr>
      </w:pPr>
      <w:r w:rsidRPr="00DC6E23">
        <w:rPr>
          <w:b/>
          <w:bCs/>
          <w:lang w:val="fr-FR"/>
        </w:rPr>
        <w:t>Abréviations</w:t>
      </w:r>
      <w:r w:rsidR="326D4CED" w:rsidRPr="00DC6E23">
        <w:rPr>
          <w:b/>
          <w:bCs/>
          <w:lang w:val="fr-FR"/>
        </w:rPr>
        <w:t>/Sigle</w:t>
      </w:r>
    </w:p>
    <w:p w14:paraId="7BE70028" w14:textId="7BA41B32" w:rsidR="00FA73E2" w:rsidRPr="00DC6E23" w:rsidRDefault="0A8CD66F" w:rsidP="00092532">
      <w:pPr>
        <w:rPr>
          <w:lang w:val="fr-FR"/>
        </w:rPr>
      </w:pPr>
      <w:r w:rsidRPr="17B7465E">
        <w:rPr>
          <w:lang w:val="fr-FR"/>
        </w:rPr>
        <w:t xml:space="preserve">BOT : </w:t>
      </w:r>
      <w:proofErr w:type="spellStart"/>
      <w:r w:rsidR="274BDACB" w:rsidRPr="17B7465E">
        <w:rPr>
          <w:lang w:val="fr-FR"/>
        </w:rPr>
        <w:t>Build</w:t>
      </w:r>
      <w:proofErr w:type="spellEnd"/>
      <w:r w:rsidR="274BDACB" w:rsidRPr="17B7465E">
        <w:rPr>
          <w:lang w:val="fr-FR"/>
        </w:rPr>
        <w:t xml:space="preserve"> </w:t>
      </w:r>
      <w:proofErr w:type="spellStart"/>
      <w:r w:rsidR="274BDACB" w:rsidRPr="17B7465E">
        <w:rPr>
          <w:lang w:val="fr-FR"/>
        </w:rPr>
        <w:t>Operate</w:t>
      </w:r>
      <w:proofErr w:type="spellEnd"/>
      <w:r w:rsidR="274BDACB" w:rsidRPr="17B7465E">
        <w:rPr>
          <w:lang w:val="fr-FR"/>
        </w:rPr>
        <w:t xml:space="preserve"> and Transfer – Contrat pour </w:t>
      </w:r>
      <w:r w:rsidRPr="17B7465E">
        <w:rPr>
          <w:lang w:val="fr-FR"/>
        </w:rPr>
        <w:t>Construire, exploiter et transférer</w:t>
      </w:r>
      <w:r w:rsidR="328A5D3C" w:rsidRPr="17B7465E">
        <w:rPr>
          <w:lang w:val="fr-FR"/>
        </w:rPr>
        <w:t xml:space="preserve"> les infrastructures</w:t>
      </w:r>
    </w:p>
    <w:p w14:paraId="0982497A" w14:textId="532BFEED" w:rsidR="328A5D3C" w:rsidRDefault="328A5D3C" w:rsidP="17B7465E">
      <w:pPr>
        <w:rPr>
          <w:lang w:val="fr-FR"/>
        </w:rPr>
      </w:pPr>
      <w:r w:rsidRPr="17B7465E">
        <w:rPr>
          <w:lang w:val="fr-FR"/>
        </w:rPr>
        <w:t xml:space="preserve">CAPEX : Capital </w:t>
      </w:r>
      <w:proofErr w:type="spellStart"/>
      <w:r w:rsidRPr="17B7465E">
        <w:rPr>
          <w:lang w:val="fr-FR"/>
        </w:rPr>
        <w:t>Expenditure</w:t>
      </w:r>
      <w:proofErr w:type="spellEnd"/>
      <w:r w:rsidRPr="17B7465E">
        <w:rPr>
          <w:lang w:val="fr-FR"/>
        </w:rPr>
        <w:t xml:space="preserve"> ou Coûts des investissements</w:t>
      </w:r>
    </w:p>
    <w:p w14:paraId="41C16112" w14:textId="1DCBEA5F" w:rsidR="00FA73E2" w:rsidRPr="00DC6E23" w:rsidRDefault="00B87640" w:rsidP="00092532">
      <w:pPr>
        <w:rPr>
          <w:lang w:val="fr-FR"/>
        </w:rPr>
      </w:pPr>
      <w:r w:rsidRPr="00DC6E23">
        <w:rPr>
          <w:lang w:val="fr-FR"/>
        </w:rPr>
        <w:t>CBAC : Convention de Base Ajustée et Consolidée</w:t>
      </w:r>
    </w:p>
    <w:p w14:paraId="3A058D83" w14:textId="78B7DE49" w:rsidR="00881D06" w:rsidRPr="00DC6E23" w:rsidRDefault="566DC690" w:rsidP="00092532">
      <w:pPr>
        <w:rPr>
          <w:lang w:val="fr-FR"/>
        </w:rPr>
      </w:pPr>
      <w:r w:rsidRPr="00DC6E23">
        <w:rPr>
          <w:lang w:val="fr-FR"/>
        </w:rPr>
        <w:t xml:space="preserve">CTG : Compagnie du </w:t>
      </w:r>
      <w:proofErr w:type="spellStart"/>
      <w:r w:rsidRPr="00DC6E23">
        <w:rPr>
          <w:lang w:val="fr-FR"/>
        </w:rPr>
        <w:t>Transguinéen</w:t>
      </w:r>
      <w:proofErr w:type="spellEnd"/>
      <w:r w:rsidRPr="00DC6E23">
        <w:rPr>
          <w:lang w:val="fr-FR"/>
        </w:rPr>
        <w:t xml:space="preserve"> (Ferroviaire et Portuaire)</w:t>
      </w:r>
    </w:p>
    <w:p w14:paraId="727CB0A5" w14:textId="59BBCE6C" w:rsidR="5C79DD97" w:rsidRPr="00DC6E23" w:rsidRDefault="5C79DD97" w:rsidP="17B7465E">
      <w:pPr>
        <w:rPr>
          <w:lang w:val="fr-FR"/>
        </w:rPr>
      </w:pPr>
      <w:proofErr w:type="spellStart"/>
      <w:r w:rsidRPr="00DC6E23">
        <w:rPr>
          <w:lang w:val="fr-FR"/>
        </w:rPr>
        <w:t>Dmt</w:t>
      </w:r>
      <w:proofErr w:type="spellEnd"/>
      <w:r w:rsidRPr="00DC6E23">
        <w:rPr>
          <w:lang w:val="fr-FR"/>
        </w:rPr>
        <w:t xml:space="preserve"> : Dry </w:t>
      </w:r>
      <w:proofErr w:type="spellStart"/>
      <w:r w:rsidRPr="00DC6E23">
        <w:rPr>
          <w:lang w:val="fr-FR"/>
        </w:rPr>
        <w:t>mined</w:t>
      </w:r>
      <w:proofErr w:type="spellEnd"/>
      <w:r w:rsidRPr="00DC6E23">
        <w:rPr>
          <w:lang w:val="fr-FR"/>
        </w:rPr>
        <w:t xml:space="preserve"> tonnes ou tonnes sèches</w:t>
      </w:r>
    </w:p>
    <w:p w14:paraId="1E1A151E" w14:textId="49943225" w:rsidR="003C2398" w:rsidRPr="00DC6E23" w:rsidRDefault="003C2398" w:rsidP="00092532">
      <w:pPr>
        <w:rPr>
          <w:lang w:val="fr-FR"/>
        </w:rPr>
      </w:pPr>
      <w:r w:rsidRPr="00DC6E23">
        <w:rPr>
          <w:lang w:val="fr-FR"/>
        </w:rPr>
        <w:t>ITIE : Initiative pour la transparence des industries extractives</w:t>
      </w:r>
    </w:p>
    <w:p w14:paraId="7FFB01BD" w14:textId="19F92608" w:rsidR="00124989" w:rsidRPr="00DC6E23" w:rsidRDefault="6D87DC44" w:rsidP="14AD5C78">
      <w:pPr>
        <w:rPr>
          <w:lang w:val="fr-FR"/>
        </w:rPr>
      </w:pPr>
      <w:r w:rsidRPr="00DC6E23">
        <w:rPr>
          <w:lang w:val="fr-FR"/>
        </w:rPr>
        <w:t>ESG : Environnemental, Social et Gouvernance</w:t>
      </w:r>
    </w:p>
    <w:p w14:paraId="03D08701" w14:textId="2203F347" w:rsidR="00124989" w:rsidRPr="00DC6E23" w:rsidRDefault="26D1DE69" w:rsidP="00092532">
      <w:pPr>
        <w:rPr>
          <w:lang w:val="fr-FR"/>
        </w:rPr>
      </w:pPr>
      <w:r w:rsidRPr="17B7465E">
        <w:rPr>
          <w:lang w:val="fr-FR"/>
        </w:rPr>
        <w:t xml:space="preserve">OPEX : Operating </w:t>
      </w:r>
      <w:proofErr w:type="spellStart"/>
      <w:r w:rsidRPr="17B7465E">
        <w:rPr>
          <w:lang w:val="fr-FR"/>
        </w:rPr>
        <w:t>Expe</w:t>
      </w:r>
      <w:r w:rsidR="2CDF2D41" w:rsidRPr="17B7465E">
        <w:rPr>
          <w:lang w:val="fr-FR"/>
        </w:rPr>
        <w:t>nditure</w:t>
      </w:r>
      <w:proofErr w:type="spellEnd"/>
      <w:r w:rsidRPr="17B7465E">
        <w:rPr>
          <w:lang w:val="fr-FR"/>
        </w:rPr>
        <w:t xml:space="preserve"> ou Coûts </w:t>
      </w:r>
      <w:r w:rsidR="374E4DE4" w:rsidRPr="17B7465E">
        <w:rPr>
          <w:lang w:val="fr-FR"/>
        </w:rPr>
        <w:t>d’</w:t>
      </w:r>
      <w:proofErr w:type="spellStart"/>
      <w:r w:rsidR="374E4DE4" w:rsidRPr="17B7465E">
        <w:rPr>
          <w:lang w:val="fr-FR"/>
        </w:rPr>
        <w:t>exploitation</w:t>
      </w:r>
      <w:r w:rsidR="3B465024" w:rsidRPr="00DC6E23">
        <w:rPr>
          <w:lang w:val="fr-FR"/>
        </w:rPr>
        <w:t>PIB</w:t>
      </w:r>
      <w:proofErr w:type="spellEnd"/>
      <w:r w:rsidR="3B465024" w:rsidRPr="00DC6E23">
        <w:rPr>
          <w:lang w:val="fr-FR"/>
        </w:rPr>
        <w:t xml:space="preserve"> : Produit intérieur brut</w:t>
      </w:r>
    </w:p>
    <w:p w14:paraId="663B88A9" w14:textId="6F5E4DC0" w:rsidR="006F244C" w:rsidRDefault="0A8CD66F" w:rsidP="00C31074">
      <w:proofErr w:type="gramStart"/>
      <w:r w:rsidRPr="17B7465E">
        <w:rPr>
          <w:lang w:val="nb-NO"/>
        </w:rPr>
        <w:t>WCS :</w:t>
      </w:r>
      <w:proofErr w:type="gramEnd"/>
      <w:r w:rsidRPr="17B7465E">
        <w:rPr>
          <w:lang w:val="nb-NO"/>
        </w:rPr>
        <w:t xml:space="preserve"> </w:t>
      </w:r>
      <w:proofErr w:type="spellStart"/>
      <w:r w:rsidR="26E30F52" w:rsidRPr="17B7465E">
        <w:rPr>
          <w:lang w:val="nb-NO"/>
        </w:rPr>
        <w:t>Winning</w:t>
      </w:r>
      <w:proofErr w:type="spellEnd"/>
      <w:r w:rsidR="26E30F52" w:rsidRPr="17B7465E">
        <w:rPr>
          <w:lang w:val="nb-NO"/>
        </w:rPr>
        <w:t xml:space="preserve"> </w:t>
      </w:r>
      <w:proofErr w:type="spellStart"/>
      <w:r w:rsidRPr="17B7465E">
        <w:rPr>
          <w:lang w:val="nb-NO"/>
        </w:rPr>
        <w:t>Consortium</w:t>
      </w:r>
      <w:proofErr w:type="spellEnd"/>
      <w:r w:rsidRPr="17B7465E">
        <w:rPr>
          <w:lang w:val="nb-NO"/>
        </w:rPr>
        <w:t xml:space="preserve"> </w:t>
      </w:r>
      <w:proofErr w:type="spellStart"/>
      <w:r w:rsidRPr="17B7465E">
        <w:rPr>
          <w:lang w:val="nb-NO"/>
        </w:rPr>
        <w:t>Simandou</w:t>
      </w:r>
      <w:proofErr w:type="spellEnd"/>
    </w:p>
    <w:p w14:paraId="12397583" w14:textId="3B654A7A" w:rsidR="25D8E8DD" w:rsidRDefault="25D8E8DD">
      <w:proofErr w:type="spellStart"/>
      <w:proofErr w:type="gramStart"/>
      <w:r w:rsidRPr="17B7465E">
        <w:rPr>
          <w:lang w:val="en-GB"/>
        </w:rPr>
        <w:t>Wmt</w:t>
      </w:r>
      <w:proofErr w:type="spellEnd"/>
      <w:r w:rsidRPr="17B7465E">
        <w:rPr>
          <w:lang w:val="en-GB"/>
        </w:rPr>
        <w:t xml:space="preserve"> :</w:t>
      </w:r>
      <w:proofErr w:type="gramEnd"/>
      <w:r w:rsidRPr="17B7465E">
        <w:rPr>
          <w:lang w:val="en-GB"/>
        </w:rPr>
        <w:t xml:space="preserve"> Wet mined tonnes </w:t>
      </w:r>
      <w:proofErr w:type="spellStart"/>
      <w:r w:rsidRPr="17B7465E">
        <w:rPr>
          <w:lang w:val="en-GB"/>
        </w:rPr>
        <w:t>ou</w:t>
      </w:r>
      <w:proofErr w:type="spellEnd"/>
      <w:r w:rsidRPr="17B7465E">
        <w:rPr>
          <w:lang w:val="en-GB"/>
        </w:rPr>
        <w:t xml:space="preserve"> tonnes </w:t>
      </w:r>
      <w:proofErr w:type="spellStart"/>
      <w:r w:rsidRPr="17B7465E">
        <w:rPr>
          <w:lang w:val="en-GB"/>
        </w:rPr>
        <w:t>humides</w:t>
      </w:r>
      <w:proofErr w:type="spellEnd"/>
    </w:p>
    <w:p w14:paraId="3F740083" w14:textId="77777777" w:rsidR="006F244C" w:rsidRDefault="006F244C" w:rsidP="00C31074">
      <w:pPr>
        <w:rPr>
          <w:lang w:val="en-GB"/>
        </w:rPr>
      </w:pPr>
    </w:p>
    <w:p w14:paraId="3E7F39CA" w14:textId="77777777" w:rsidR="006F244C" w:rsidRDefault="006F244C" w:rsidP="00C31074">
      <w:pPr>
        <w:rPr>
          <w:lang w:val="en-GB"/>
        </w:rPr>
      </w:pPr>
    </w:p>
    <w:p w14:paraId="642A7935" w14:textId="77777777" w:rsidR="006F244C" w:rsidRDefault="006F244C" w:rsidP="00C31074">
      <w:pPr>
        <w:rPr>
          <w:lang w:val="en-GB"/>
        </w:rPr>
      </w:pPr>
    </w:p>
    <w:p w14:paraId="2BC113D7" w14:textId="77777777" w:rsidR="006F244C" w:rsidRDefault="006F244C" w:rsidP="00C31074">
      <w:pPr>
        <w:rPr>
          <w:lang w:val="en-GB"/>
        </w:rPr>
      </w:pPr>
    </w:p>
    <w:p w14:paraId="3E140952" w14:textId="77777777" w:rsidR="006F244C" w:rsidRDefault="006F244C" w:rsidP="00C31074">
      <w:pPr>
        <w:rPr>
          <w:lang w:val="en-GB"/>
        </w:rPr>
      </w:pPr>
    </w:p>
    <w:p w14:paraId="6AA57F04" w14:textId="77777777" w:rsidR="006F244C" w:rsidRDefault="006F244C" w:rsidP="00C31074">
      <w:pPr>
        <w:rPr>
          <w:lang w:val="en-GB"/>
        </w:rPr>
      </w:pPr>
    </w:p>
    <w:p w14:paraId="1D38C4F5" w14:textId="77777777" w:rsidR="006F244C" w:rsidRDefault="006F244C" w:rsidP="00C31074">
      <w:pPr>
        <w:rPr>
          <w:lang w:val="en-GB"/>
        </w:rPr>
      </w:pPr>
    </w:p>
    <w:p w14:paraId="6CA691B8" w14:textId="77777777" w:rsidR="006F244C" w:rsidRDefault="006F244C" w:rsidP="00C31074">
      <w:pPr>
        <w:rPr>
          <w:lang w:val="en-GB"/>
        </w:rPr>
      </w:pPr>
    </w:p>
    <w:p w14:paraId="713CEE87" w14:textId="77777777" w:rsidR="006F244C" w:rsidRDefault="006F244C" w:rsidP="00C31074">
      <w:pPr>
        <w:rPr>
          <w:lang w:val="en-GB"/>
        </w:rPr>
      </w:pPr>
    </w:p>
    <w:p w14:paraId="04063DE9" w14:textId="37B24FC6" w:rsidR="006F244C" w:rsidRDefault="006F244C" w:rsidP="17B7465E">
      <w:pPr>
        <w:rPr>
          <w:lang w:val="en-GB"/>
        </w:rPr>
      </w:pPr>
    </w:p>
    <w:p w14:paraId="15B25C56" w14:textId="77777777" w:rsidR="008D179A" w:rsidRDefault="008D179A" w:rsidP="17B7465E">
      <w:pPr>
        <w:rPr>
          <w:lang w:val="en-GB"/>
        </w:rPr>
      </w:pPr>
    </w:p>
    <w:p w14:paraId="1043A72C" w14:textId="6DBC6F11" w:rsidR="006F244C" w:rsidRPr="006F244C" w:rsidRDefault="006F244C" w:rsidP="006F244C">
      <w:pPr>
        <w:pStyle w:val="Titre2"/>
        <w:rPr>
          <w:lang w:val="en-GB"/>
        </w:rPr>
      </w:pPr>
      <w:bookmarkStart w:id="1" w:name="_Toc203392795"/>
      <w:r>
        <w:lastRenderedPageBreak/>
        <w:t>Contexte</w:t>
      </w:r>
      <w:bookmarkEnd w:id="1"/>
    </w:p>
    <w:p w14:paraId="0DAAD494" w14:textId="1071553A" w:rsidR="00C31074" w:rsidRPr="000E0FE1" w:rsidRDefault="00C31074" w:rsidP="00C31074">
      <w:pPr>
        <w:rPr>
          <w:lang w:val="fr-FR"/>
        </w:rPr>
      </w:pPr>
      <w:r w:rsidRPr="4CC14389">
        <w:rPr>
          <w:lang w:val="fr-FR"/>
        </w:rPr>
        <w:t>La mobilisation des recettes intérieures est au cœur des travaux sur la transparence des recettes menés par l’Initiative pour la transparence des industries extractives (ITIE). La mobilisation des recettes est essentielle pour soutenir le développement national et les dépenses publiques, permettant ainsi aux pays d’atteindre les objectifs de développement durable (ODD) des Nations Unies. Tout au long de la chaîne de valeur, il existe des possibilités de maximiser les recettes et de garantir que leur allocation et leur utilisation soient efficaces et profitent à la société.</w:t>
      </w:r>
    </w:p>
    <w:p w14:paraId="6D557350" w14:textId="1B4102B3" w:rsidR="0030509C" w:rsidRPr="000E0FE1" w:rsidRDefault="3F2ED6CE" w:rsidP="003D1F0E">
      <w:pPr>
        <w:spacing w:line="259" w:lineRule="auto"/>
        <w:jc w:val="both"/>
        <w:rPr>
          <w:lang w:val="fr-FR"/>
        </w:rPr>
      </w:pPr>
      <w:r w:rsidRPr="4CC14389">
        <w:rPr>
          <w:lang w:val="fr-FR"/>
        </w:rPr>
        <w:t>En 2022, le secteur minier guinéen représentait 21 % du PIB et plus de 90 % des exportations. Ces dernières sont principalement constituées de bauxite et d'or, et, dans une moindre mesure, de diamants, de minerai de fer et d'autres minéraux. La Guinée possède les plus importantes réserves de bauxite au monde. Le pays bénéficie de la plus grande capacité hydroélectrique d'Afrique de l'Ouest et d'un potentiel agricole riche et encore largement inexploité.</w:t>
      </w:r>
    </w:p>
    <w:p w14:paraId="6B876A7E" w14:textId="0295D6A8" w:rsidR="008B3013" w:rsidRPr="000E0FE1" w:rsidRDefault="5B36C085" w:rsidP="003D1F0E">
      <w:pPr>
        <w:spacing w:line="259" w:lineRule="auto"/>
        <w:jc w:val="both"/>
        <w:rPr>
          <w:lang w:val="fr-FR"/>
        </w:rPr>
      </w:pPr>
      <w:r w:rsidRPr="00DC6E23">
        <w:rPr>
          <w:lang w:val="fr-FR"/>
        </w:rPr>
        <w:t xml:space="preserve">Le projet minier de </w:t>
      </w:r>
      <w:proofErr w:type="spellStart"/>
      <w:r w:rsidRPr="00DC6E23">
        <w:rPr>
          <w:lang w:val="fr-FR"/>
        </w:rPr>
        <w:t>Simandou</w:t>
      </w:r>
      <w:proofErr w:type="spellEnd"/>
      <w:r w:rsidRPr="00DC6E23">
        <w:rPr>
          <w:lang w:val="fr-FR"/>
        </w:rPr>
        <w:t xml:space="preserve">, situé dans le sud-est de la Guinée, est réputé pour abriter l'un des plus importants gisements de minerai de fer à haute teneur encore inexploités au monde. S'étendant sur plus de 100 kilomètres, cette chaîne de montagnes recèle des réserves estimées à 4 milliards de tonnes de minerai de fer. L'ampleur du projet </w:t>
      </w:r>
      <w:proofErr w:type="gramStart"/>
      <w:r w:rsidRPr="00DC6E23">
        <w:rPr>
          <w:lang w:val="fr-FR"/>
        </w:rPr>
        <w:t>promet  des</w:t>
      </w:r>
      <w:proofErr w:type="gramEnd"/>
      <w:r w:rsidRPr="00DC6E23">
        <w:rPr>
          <w:lang w:val="fr-FR"/>
        </w:rPr>
        <w:t xml:space="preserve"> retombées économiques substantielles pour la Guinée. La production pourrait atteindre près de 120 millions de tonnes</w:t>
      </w:r>
      <w:r w:rsidR="28F3C2D2" w:rsidRPr="00DC6E23">
        <w:rPr>
          <w:lang w:val="fr-FR"/>
        </w:rPr>
        <w:t xml:space="preserve"> </w:t>
      </w:r>
      <w:r w:rsidR="45A4939C" w:rsidRPr="17B7465E">
        <w:rPr>
          <w:lang w:val="fr-FR"/>
        </w:rPr>
        <w:t>par année</w:t>
      </w:r>
      <w:r w:rsidR="1B95FE63" w:rsidRPr="17B7465E">
        <w:rPr>
          <w:lang w:val="fr-FR"/>
        </w:rPr>
        <w:t xml:space="preserve">, </w:t>
      </w:r>
      <w:r w:rsidR="7C56C8D0" w:rsidRPr="17B7465E">
        <w:rPr>
          <w:lang w:val="fr-FR"/>
        </w:rPr>
        <w:t>ce projet pourrait doubler la valeur des exportations minières actuelles de la Guinée, selon Rio Tinto.</w:t>
      </w:r>
    </w:p>
    <w:p w14:paraId="6584D744" w14:textId="4EF8FA3A" w:rsidR="0080799B" w:rsidRPr="000E0FE1" w:rsidRDefault="38D14A37" w:rsidP="003D1F0E">
      <w:pPr>
        <w:spacing w:line="259" w:lineRule="auto"/>
        <w:jc w:val="both"/>
        <w:rPr>
          <w:lang w:val="fr-FR"/>
        </w:rPr>
      </w:pPr>
      <w:r w:rsidRPr="17B7465E">
        <w:rPr>
          <w:lang w:val="fr-FR"/>
        </w:rPr>
        <w:t xml:space="preserve">Le projet est construit et financé par un consortium international. Ce consortium est composé de Rio Tinto, </w:t>
      </w:r>
      <w:r w:rsidR="7F42D616" w:rsidRPr="17B7465E">
        <w:rPr>
          <w:lang w:val="fr-FR"/>
        </w:rPr>
        <w:t xml:space="preserve">de </w:t>
      </w:r>
      <w:proofErr w:type="spellStart"/>
      <w:r w:rsidR="7F42D616" w:rsidRPr="17B7465E">
        <w:rPr>
          <w:lang w:val="fr-FR"/>
        </w:rPr>
        <w:t>Winning</w:t>
      </w:r>
      <w:proofErr w:type="spellEnd"/>
      <w:r w:rsidR="7F42D616" w:rsidRPr="17B7465E">
        <w:rPr>
          <w:lang w:val="fr-FR"/>
        </w:rPr>
        <w:t xml:space="preserve"> Consortium et </w:t>
      </w:r>
      <w:r w:rsidRPr="17B7465E">
        <w:rPr>
          <w:lang w:val="fr-FR"/>
        </w:rPr>
        <w:t xml:space="preserve">du groupe sidérurgique chinois </w:t>
      </w:r>
      <w:proofErr w:type="spellStart"/>
      <w:r w:rsidRPr="17B7465E">
        <w:rPr>
          <w:lang w:val="fr-FR"/>
        </w:rPr>
        <w:t>Baowu</w:t>
      </w:r>
      <w:proofErr w:type="spellEnd"/>
      <w:r w:rsidRPr="17B7465E">
        <w:rPr>
          <w:lang w:val="fr-FR"/>
        </w:rPr>
        <w:t xml:space="preserve"> et de plusieurs autres entreprises chinoises. Le consortium </w:t>
      </w:r>
      <w:proofErr w:type="spellStart"/>
      <w:r w:rsidR="49B16424" w:rsidRPr="17B7465E">
        <w:rPr>
          <w:lang w:val="fr-FR"/>
        </w:rPr>
        <w:t>Winning</w:t>
      </w:r>
      <w:proofErr w:type="spellEnd"/>
      <w:r w:rsidR="49B16424" w:rsidRPr="17B7465E">
        <w:rPr>
          <w:lang w:val="fr-FR"/>
        </w:rPr>
        <w:t xml:space="preserve"> Consortium</w:t>
      </w:r>
      <w:r w:rsidRPr="17B7465E">
        <w:rPr>
          <w:lang w:val="fr-FR"/>
        </w:rPr>
        <w:t xml:space="preserve"> </w:t>
      </w:r>
      <w:proofErr w:type="spellStart"/>
      <w:r w:rsidRPr="17B7465E">
        <w:rPr>
          <w:lang w:val="fr-FR"/>
        </w:rPr>
        <w:t>Simandou</w:t>
      </w:r>
      <w:proofErr w:type="spellEnd"/>
      <w:r w:rsidRPr="17B7465E">
        <w:rPr>
          <w:lang w:val="fr-FR"/>
        </w:rPr>
        <w:t xml:space="preserve"> (WCS) et l</w:t>
      </w:r>
      <w:r w:rsidR="092D3031" w:rsidRPr="17B7465E">
        <w:rPr>
          <w:lang w:val="fr-FR"/>
        </w:rPr>
        <w:t>a Guinée</w:t>
      </w:r>
      <w:r w:rsidRPr="17B7465E">
        <w:rPr>
          <w:lang w:val="fr-FR"/>
        </w:rPr>
        <w:t xml:space="preserve"> détiennent les blocs 1 et 2, avec des participations respectives de 85 % et 15 %. Le consortium minier</w:t>
      </w:r>
      <w:r w:rsidR="570F194F" w:rsidRPr="17B7465E">
        <w:rPr>
          <w:lang w:val="fr-FR"/>
        </w:rPr>
        <w:t xml:space="preserve"> Rio Tinto</w:t>
      </w:r>
      <w:r w:rsidRPr="17B7465E">
        <w:rPr>
          <w:lang w:val="fr-FR"/>
        </w:rPr>
        <w:t xml:space="preserve"> </w:t>
      </w:r>
      <w:proofErr w:type="spellStart"/>
      <w:r w:rsidRPr="17B7465E">
        <w:rPr>
          <w:lang w:val="fr-FR"/>
        </w:rPr>
        <w:t>Simfer</w:t>
      </w:r>
      <w:proofErr w:type="spellEnd"/>
      <w:r w:rsidRPr="17B7465E">
        <w:rPr>
          <w:lang w:val="fr-FR"/>
        </w:rPr>
        <w:t xml:space="preserve"> et l</w:t>
      </w:r>
      <w:r w:rsidR="5189D709" w:rsidRPr="17B7465E">
        <w:rPr>
          <w:lang w:val="fr-FR"/>
        </w:rPr>
        <w:t>'Etat</w:t>
      </w:r>
      <w:r w:rsidRPr="17B7465E">
        <w:rPr>
          <w:lang w:val="fr-FR"/>
        </w:rPr>
        <w:t xml:space="preserve"> guinéen détiennent les blocs 3 et 4, avec des participations respectives de 85 % et 15 </w:t>
      </w:r>
      <w:r w:rsidR="023D3F13" w:rsidRPr="17B7465E">
        <w:rPr>
          <w:lang w:val="fr-FR"/>
        </w:rPr>
        <w:t>%.</w:t>
      </w:r>
      <w:r w:rsidRPr="17B7465E">
        <w:rPr>
          <w:lang w:val="fr-FR"/>
        </w:rPr>
        <w:t xml:space="preserve"> Malgré sa participation, le gouvernement guinéen ne contribue pas aux investissements. Les recettes publiques totales</w:t>
      </w:r>
      <w:r w:rsidR="179C92E5" w:rsidRPr="17B7465E">
        <w:rPr>
          <w:lang w:val="fr-FR"/>
        </w:rPr>
        <w:t xml:space="preserve"> </w:t>
      </w:r>
      <w:r w:rsidRPr="17B7465E">
        <w:rPr>
          <w:lang w:val="fr-FR"/>
        </w:rPr>
        <w:t>attendues</w:t>
      </w:r>
      <w:r w:rsidR="1EB4CF66" w:rsidRPr="17B7465E">
        <w:rPr>
          <w:lang w:val="fr-FR"/>
        </w:rPr>
        <w:t xml:space="preserve"> par an</w:t>
      </w:r>
      <w:r w:rsidRPr="17B7465E">
        <w:rPr>
          <w:lang w:val="fr-FR"/>
        </w:rPr>
        <w:t xml:space="preserve"> pourraient représenter 3,4 % du PIB.de 2030 à 2039, par rapport aux revenus miniers totaux de 2,2 % du PIB en 2022 (Rio Tinto</w:t>
      </w:r>
      <w:r w:rsidR="1912612C" w:rsidRPr="17B7465E">
        <w:rPr>
          <w:lang w:val="fr-FR"/>
        </w:rPr>
        <w:t>,</w:t>
      </w:r>
      <w:r w:rsidRPr="17B7465E">
        <w:rPr>
          <w:lang w:val="fr-FR"/>
        </w:rPr>
        <w:t xml:space="preserve"> 2023).</w:t>
      </w:r>
    </w:p>
    <w:p w14:paraId="50C089A0" w14:textId="08E70389" w:rsidR="00101B29" w:rsidRPr="000E0FE1" w:rsidRDefault="61E448BB" w:rsidP="00101B29">
      <w:pPr>
        <w:spacing w:line="259" w:lineRule="auto"/>
        <w:jc w:val="both"/>
        <w:rPr>
          <w:lang w:val="fr-FR"/>
        </w:rPr>
      </w:pPr>
      <w:r w:rsidRPr="4CC14389">
        <w:rPr>
          <w:lang w:val="fr-FR"/>
        </w:rPr>
        <w:t xml:space="preserve">Toutefois, il est difficile de trouver publiquement des évaluations indépendantes des impacts fiscaux et économiques plus larges du projet </w:t>
      </w:r>
      <w:proofErr w:type="spellStart"/>
      <w:r w:rsidRPr="4CC14389">
        <w:rPr>
          <w:lang w:val="fr-FR"/>
        </w:rPr>
        <w:t>Simandou</w:t>
      </w:r>
      <w:proofErr w:type="spellEnd"/>
      <w:r w:rsidRPr="4CC14389">
        <w:rPr>
          <w:lang w:val="fr-FR"/>
        </w:rPr>
        <w:t xml:space="preserve">. Cela s'explique par le fait que les conventions minières modifiées pour Rio Tinto </w:t>
      </w:r>
      <w:proofErr w:type="spellStart"/>
      <w:r w:rsidRPr="4CC14389">
        <w:rPr>
          <w:lang w:val="fr-FR"/>
        </w:rPr>
        <w:t>Simfer</w:t>
      </w:r>
      <w:proofErr w:type="spellEnd"/>
      <w:r w:rsidRPr="4CC14389">
        <w:rPr>
          <w:lang w:val="fr-FR"/>
        </w:rPr>
        <w:t xml:space="preserve"> et pour le Consortium </w:t>
      </w:r>
      <w:proofErr w:type="spellStart"/>
      <w:r w:rsidRPr="4CC14389">
        <w:rPr>
          <w:lang w:val="fr-FR"/>
        </w:rPr>
        <w:t>Winning</w:t>
      </w:r>
      <w:proofErr w:type="spellEnd"/>
      <w:r w:rsidRPr="4CC14389">
        <w:rPr>
          <w:lang w:val="fr-FR"/>
        </w:rPr>
        <w:t xml:space="preserve"> </w:t>
      </w:r>
      <w:proofErr w:type="spellStart"/>
      <w:r w:rsidRPr="4CC14389">
        <w:rPr>
          <w:lang w:val="fr-FR"/>
        </w:rPr>
        <w:t>Simandou</w:t>
      </w:r>
      <w:proofErr w:type="spellEnd"/>
      <w:r w:rsidRPr="4CC14389">
        <w:rPr>
          <w:lang w:val="fr-FR"/>
        </w:rPr>
        <w:t xml:space="preserve">, ainsi que la convention d'infrastructure pour la Compagnie du </w:t>
      </w:r>
      <w:proofErr w:type="spellStart"/>
      <w:r w:rsidRPr="4CC14389">
        <w:rPr>
          <w:lang w:val="fr-FR"/>
        </w:rPr>
        <w:t>TransGuinéen</w:t>
      </w:r>
      <w:proofErr w:type="spellEnd"/>
      <w:r w:rsidRPr="4CC14389">
        <w:rPr>
          <w:lang w:val="fr-FR"/>
        </w:rPr>
        <w:t>, n'ont pas été rendues publiques.</w:t>
      </w:r>
    </w:p>
    <w:p w14:paraId="74ED00BC" w14:textId="06747B8E" w:rsidR="00576A25" w:rsidRDefault="3DD7B02D" w:rsidP="17B7465E">
      <w:pPr>
        <w:spacing w:line="259" w:lineRule="auto"/>
        <w:jc w:val="both"/>
        <w:rPr>
          <w:lang w:val="fr-FR"/>
        </w:rPr>
      </w:pPr>
      <w:r w:rsidRPr="17B7465E">
        <w:rPr>
          <w:lang w:val="fr-FR"/>
        </w:rPr>
        <w:t>La modélisation financière est essentielle pour évaluer la viabilité économique de</w:t>
      </w:r>
      <w:r w:rsidR="670EB6C3" w:rsidRPr="17B7465E">
        <w:rPr>
          <w:lang w:val="fr-FR"/>
        </w:rPr>
        <w:t>s</w:t>
      </w:r>
      <w:r w:rsidRPr="17B7465E">
        <w:rPr>
          <w:lang w:val="fr-FR"/>
        </w:rPr>
        <w:t xml:space="preserve"> projets miniers d'envergure comme </w:t>
      </w:r>
      <w:proofErr w:type="spellStart"/>
      <w:r w:rsidRPr="17B7465E">
        <w:rPr>
          <w:lang w:val="fr-FR"/>
        </w:rPr>
        <w:t>Simandou</w:t>
      </w:r>
      <w:proofErr w:type="spellEnd"/>
      <w:r w:rsidRPr="17B7465E">
        <w:rPr>
          <w:lang w:val="fr-FR"/>
        </w:rPr>
        <w:t xml:space="preserve">. Elle </w:t>
      </w:r>
      <w:r w:rsidR="3599C7B2" w:rsidRPr="17B7465E">
        <w:rPr>
          <w:lang w:val="fr-FR"/>
        </w:rPr>
        <w:t xml:space="preserve">également </w:t>
      </w:r>
      <w:r w:rsidRPr="17B7465E">
        <w:rPr>
          <w:lang w:val="fr-FR"/>
        </w:rPr>
        <w:t xml:space="preserve">aide les parties prenantes </w:t>
      </w:r>
      <w:r w:rsidR="62CCE5CD" w:rsidRPr="17B7465E">
        <w:rPr>
          <w:lang w:val="fr-FR"/>
        </w:rPr>
        <w:t xml:space="preserve">et les citoyens </w:t>
      </w:r>
      <w:r w:rsidRPr="17B7465E">
        <w:rPr>
          <w:lang w:val="fr-FR"/>
        </w:rPr>
        <w:t>à comprendre les rendements potentiels, à évaluer les risques et à prendre des décisions éclairées. Un modèle financier robuste offre une vision complète des revenus, des coûts et des flux de trésorerie prévisionnels. Il permet notamment de comprendre les régimes fiscaux, les structures de redevances et les revenus potentiels pour les communautés locales.</w:t>
      </w:r>
    </w:p>
    <w:p w14:paraId="007061FF" w14:textId="27B9BF48" w:rsidR="005E62B0" w:rsidRPr="00DC6E23" w:rsidRDefault="5C1F8C34" w:rsidP="003D1F0E">
      <w:pPr>
        <w:spacing w:line="259" w:lineRule="auto"/>
        <w:jc w:val="both"/>
        <w:rPr>
          <w:lang w:val="fr-FR"/>
        </w:rPr>
      </w:pPr>
      <w:r w:rsidRPr="17B7465E">
        <w:rPr>
          <w:lang w:val="fr-FR" w:bidi="en-US"/>
        </w:rPr>
        <w:t xml:space="preserve">La norme </w:t>
      </w:r>
      <w:r w:rsidR="3A0493EF" w:rsidRPr="17B7465E">
        <w:rPr>
          <w:lang w:val="fr-FR" w:bidi="en-US"/>
        </w:rPr>
        <w:t>ITIE</w:t>
      </w:r>
      <w:r w:rsidRPr="17B7465E">
        <w:rPr>
          <w:lang w:val="fr-FR" w:bidi="en-US"/>
        </w:rPr>
        <w:t xml:space="preserve"> exige des pays de mise en œuvre la divulgation de toutes les prévisions relatives aux revenus futurs du secteur extractif, y compris les hypothèses sous-jacentes relatives aux niveaux de production projetés, aux </w:t>
      </w:r>
      <w:r w:rsidR="11C2DE8B" w:rsidRPr="17B7465E">
        <w:rPr>
          <w:lang w:val="fr-FR" w:bidi="en-US"/>
        </w:rPr>
        <w:t xml:space="preserve">projections des </w:t>
      </w:r>
      <w:r w:rsidRPr="17B7465E">
        <w:rPr>
          <w:lang w:val="fr-FR" w:bidi="en-US"/>
        </w:rPr>
        <w:t xml:space="preserve">coûts de </w:t>
      </w:r>
      <w:r w:rsidR="537A8467" w:rsidRPr="17B7465E">
        <w:rPr>
          <w:lang w:val="fr-FR" w:bidi="en-US"/>
        </w:rPr>
        <w:t>projet et</w:t>
      </w:r>
      <w:r w:rsidRPr="17B7465E">
        <w:rPr>
          <w:lang w:val="fr-FR" w:bidi="en-US"/>
        </w:rPr>
        <w:t xml:space="preserve"> aux </w:t>
      </w:r>
      <w:r w:rsidR="6E72E421" w:rsidRPr="17B7465E">
        <w:rPr>
          <w:lang w:val="fr-FR" w:bidi="en-US"/>
        </w:rPr>
        <w:t xml:space="preserve">prévisions des </w:t>
      </w:r>
      <w:r w:rsidRPr="17B7465E">
        <w:rPr>
          <w:lang w:val="fr-FR" w:bidi="en-US"/>
        </w:rPr>
        <w:t xml:space="preserve">prix des matières </w:t>
      </w:r>
      <w:r w:rsidR="12CB9641" w:rsidRPr="17B7465E">
        <w:rPr>
          <w:lang w:val="fr-FR" w:bidi="en-US"/>
        </w:rPr>
        <w:t>premières,</w:t>
      </w:r>
      <w:r w:rsidRPr="17B7465E">
        <w:rPr>
          <w:lang w:val="fr-FR" w:bidi="en-US"/>
        </w:rPr>
        <w:t xml:space="preserve"> lorsqu'elles existent (exigence 5.3.b).</w:t>
      </w:r>
    </w:p>
    <w:p w14:paraId="434060C7" w14:textId="33C36E68" w:rsidR="00576A25" w:rsidRPr="000E0FE1" w:rsidRDefault="1962C0B9" w:rsidP="00CB1F76">
      <w:pPr>
        <w:jc w:val="both"/>
        <w:rPr>
          <w:lang w:val="fr-FR"/>
        </w:rPr>
      </w:pPr>
      <w:r w:rsidRPr="17B7465E">
        <w:rPr>
          <w:lang w:val="fr-FR"/>
        </w:rPr>
        <w:t xml:space="preserve">Dans le cadre du plan de travail 2025-2027 de l'ITIE Guinée, le Secrétariat international de l'ITIE a soutenu l'ITIE Guinée dans la production de modèles financiers, d'analyses et de rapports relatifs au projet minier de </w:t>
      </w:r>
      <w:proofErr w:type="spellStart"/>
      <w:r w:rsidRPr="17B7465E">
        <w:rPr>
          <w:lang w:val="fr-FR"/>
        </w:rPr>
        <w:t>Simandou</w:t>
      </w:r>
      <w:proofErr w:type="spellEnd"/>
      <w:r w:rsidRPr="17B7465E">
        <w:rPr>
          <w:lang w:val="fr-FR"/>
        </w:rPr>
        <w:t>.</w:t>
      </w:r>
    </w:p>
    <w:p w14:paraId="29CC03E2" w14:textId="1C5CFBDB" w:rsidR="00874060" w:rsidRDefault="4BE4489D" w:rsidP="17B7465E">
      <w:pPr>
        <w:jc w:val="both"/>
        <w:rPr>
          <w:lang w:val="fr-FR"/>
        </w:rPr>
      </w:pPr>
      <w:r w:rsidRPr="035BFF2E">
        <w:rPr>
          <w:lang w:val="fr-FR"/>
        </w:rPr>
        <w:lastRenderedPageBreak/>
        <w:t>Le modèle FARI</w:t>
      </w:r>
      <w:r w:rsidR="5E46FD83" w:rsidRPr="035BFF2E">
        <w:rPr>
          <w:lang w:val="fr-FR"/>
        </w:rPr>
        <w:t xml:space="preserve"> du FMI qui a été utilisé,</w:t>
      </w:r>
      <w:r w:rsidRPr="035BFF2E">
        <w:rPr>
          <w:lang w:val="fr-FR"/>
        </w:rPr>
        <w:t xml:space="preserve"> montre un impact fiscal direct du projet pour la Guinée</w:t>
      </w:r>
      <w:r w:rsidR="301E569C" w:rsidRPr="035BFF2E">
        <w:rPr>
          <w:lang w:val="fr-FR"/>
        </w:rPr>
        <w:t xml:space="preserve">. </w:t>
      </w:r>
      <w:r w:rsidRPr="035BFF2E">
        <w:rPr>
          <w:lang w:val="fr-FR"/>
        </w:rPr>
        <w:t xml:space="preserve">Les recettes annuelles devraient se situer entre </w:t>
      </w:r>
      <w:r w:rsidR="1AD3DD1F" w:rsidRPr="035BFF2E">
        <w:rPr>
          <w:lang w:val="fr-FR"/>
        </w:rPr>
        <w:t>850 millions</w:t>
      </w:r>
      <w:r w:rsidRPr="035BFF2E">
        <w:rPr>
          <w:lang w:val="fr-FR"/>
        </w:rPr>
        <w:t xml:space="preserve"> et </w:t>
      </w:r>
      <w:r w:rsidR="10DDF74A" w:rsidRPr="035BFF2E">
        <w:rPr>
          <w:lang w:val="fr-FR"/>
        </w:rPr>
        <w:t>1,7</w:t>
      </w:r>
      <w:r w:rsidRPr="035BFF2E">
        <w:rPr>
          <w:lang w:val="fr-FR"/>
        </w:rPr>
        <w:t xml:space="preserve"> milliards de dollars à pleine capacité avant 2035. À partir de 2035, les taux d'imposition des sociétés augmenteront, ce qui se traduira par des recettes publiques plus élevées, comprises entre 2 et </w:t>
      </w:r>
      <w:r w:rsidR="53D13784" w:rsidRPr="035BFF2E">
        <w:rPr>
          <w:lang w:val="fr-FR"/>
        </w:rPr>
        <w:t>2</w:t>
      </w:r>
      <w:r w:rsidRPr="035BFF2E">
        <w:rPr>
          <w:lang w:val="fr-FR"/>
        </w:rPr>
        <w:t>,</w:t>
      </w:r>
      <w:r w:rsidR="5CF515F2" w:rsidRPr="035BFF2E">
        <w:rPr>
          <w:lang w:val="fr-FR"/>
        </w:rPr>
        <w:t>7</w:t>
      </w:r>
      <w:r w:rsidRPr="035BFF2E">
        <w:rPr>
          <w:lang w:val="fr-FR"/>
        </w:rPr>
        <w:t xml:space="preserve"> milliards de dollars</w:t>
      </w:r>
      <w:r w:rsidR="1F017349" w:rsidRPr="035BFF2E">
        <w:rPr>
          <w:lang w:val="fr-FR"/>
        </w:rPr>
        <w:t xml:space="preserve"> </w:t>
      </w:r>
      <w:r w:rsidRPr="035BFF2E">
        <w:rPr>
          <w:lang w:val="fr-FR"/>
        </w:rPr>
        <w:t xml:space="preserve">par </w:t>
      </w:r>
      <w:r w:rsidR="5CE684DE" w:rsidRPr="035BFF2E">
        <w:rPr>
          <w:lang w:val="fr-FR"/>
        </w:rPr>
        <w:t>an</w:t>
      </w:r>
      <w:r w:rsidRPr="035BFF2E">
        <w:rPr>
          <w:lang w:val="fr-FR"/>
        </w:rPr>
        <w:t xml:space="preserve">, </w:t>
      </w:r>
      <w:r w:rsidR="1B18C386" w:rsidRPr="035BFF2E">
        <w:rPr>
          <w:lang w:val="fr-FR"/>
        </w:rPr>
        <w:t>selon</w:t>
      </w:r>
      <w:r w:rsidRPr="035BFF2E">
        <w:rPr>
          <w:lang w:val="fr-FR"/>
        </w:rPr>
        <w:t xml:space="preserve"> des </w:t>
      </w:r>
      <w:r w:rsidR="01869EF4" w:rsidRPr="035BFF2E">
        <w:rPr>
          <w:lang w:val="fr-FR"/>
        </w:rPr>
        <w:t xml:space="preserve">scénarios de </w:t>
      </w:r>
      <w:r w:rsidRPr="035BFF2E">
        <w:rPr>
          <w:lang w:val="fr-FR"/>
        </w:rPr>
        <w:t>prix du minerai de fer de 80 $/t et 100 $/t.</w:t>
      </w:r>
    </w:p>
    <w:p w14:paraId="44F5934B" w14:textId="4FAA2509" w:rsidR="00165B87" w:rsidRPr="00DC6E23" w:rsidRDefault="00D80F3F" w:rsidP="00874060">
      <w:pPr>
        <w:spacing w:line="259" w:lineRule="auto"/>
        <w:jc w:val="both"/>
        <w:rPr>
          <w:lang w:val="fr-FR"/>
        </w:rPr>
      </w:pPr>
      <w:r w:rsidRPr="00DC6E23">
        <w:rPr>
          <w:lang w:val="fr-FR"/>
        </w:rPr>
        <w:t xml:space="preserve">Le projet de modélisation financière pour </w:t>
      </w:r>
      <w:proofErr w:type="spellStart"/>
      <w:r w:rsidRPr="00DC6E23">
        <w:rPr>
          <w:lang w:val="fr-FR"/>
        </w:rPr>
        <w:t>Simandou</w:t>
      </w:r>
      <w:proofErr w:type="spellEnd"/>
      <w:r w:rsidRPr="00DC6E23">
        <w:rPr>
          <w:lang w:val="fr-FR"/>
        </w:rPr>
        <w:t xml:space="preserve"> pourrait aider le gouvernement guinéen à gérer les attentes et à souligner la nécessité de renforcer les opportunités liées au contenu local.</w:t>
      </w:r>
    </w:p>
    <w:p w14:paraId="17BBC397" w14:textId="754B9504" w:rsidR="007D60D8" w:rsidRPr="008B46C8" w:rsidRDefault="46AC346D" w:rsidP="00165B87">
      <w:pPr>
        <w:pStyle w:val="Titre2"/>
      </w:pPr>
      <w:bookmarkStart w:id="2" w:name="_Toc203392796"/>
      <w:r>
        <w:t>Prévisions du marché du fer</w:t>
      </w:r>
      <w:bookmarkEnd w:id="2"/>
    </w:p>
    <w:p w14:paraId="50CA9C37" w14:textId="117E9174" w:rsidR="0035629C" w:rsidRPr="00DC6E23" w:rsidRDefault="277203B6" w:rsidP="17B7465E">
      <w:pPr>
        <w:rPr>
          <w:lang w:val="fr-FR"/>
        </w:rPr>
      </w:pPr>
      <w:r w:rsidRPr="00DC6E23">
        <w:rPr>
          <w:lang w:val="fr-FR"/>
        </w:rPr>
        <w:t>L</w:t>
      </w:r>
      <w:r w:rsidR="0E42F30A" w:rsidRPr="00DC6E23">
        <w:rPr>
          <w:lang w:val="fr-FR"/>
        </w:rPr>
        <w:t xml:space="preserve">e rapport </w:t>
      </w:r>
      <w:r w:rsidR="61300EBC" w:rsidRPr="00DC6E23">
        <w:rPr>
          <w:lang w:val="fr-FR"/>
        </w:rPr>
        <w:t>“</w:t>
      </w:r>
      <w:hyperlink r:id="rId14" w:history="1">
        <w:hyperlink r:id="rId15" w:history="1">
          <w:r w:rsidR="61300EBC" w:rsidRPr="00DC6E23">
            <w:rPr>
              <w:rStyle w:val="Lienhypertexte"/>
              <w:lang w:val="fr-FR"/>
            </w:rPr>
            <w:t>Perspectives mondiales sur les matières premières de S&amp;P</w:t>
          </w:r>
        </w:hyperlink>
      </w:hyperlink>
      <w:r w:rsidR="066AB6E2" w:rsidRPr="00DC6E23">
        <w:rPr>
          <w:lang w:val="fr-FR"/>
        </w:rPr>
        <w:t>” a</w:t>
      </w:r>
      <w:r w:rsidR="0E42F30A" w:rsidRPr="00DC6E23">
        <w:rPr>
          <w:lang w:val="fr-FR"/>
        </w:rPr>
        <w:t>nalyse les prévisions de prix consensuelles pour les métaux industriels et précieux, notamment le minerai de fer, dans le contexte des tendances générales du marché.</w:t>
      </w:r>
    </w:p>
    <w:p w14:paraId="0EDA5C33" w14:textId="75D3F957" w:rsidR="007D60D8" w:rsidRPr="000E0FE1" w:rsidRDefault="31A1D5EA" w:rsidP="003D1F0E">
      <w:pPr>
        <w:spacing w:line="259" w:lineRule="auto"/>
        <w:jc w:val="both"/>
        <w:rPr>
          <w:lang w:val="fr-FR"/>
        </w:rPr>
      </w:pPr>
      <w:r w:rsidRPr="17B7465E">
        <w:rPr>
          <w:lang w:val="fr-FR"/>
        </w:rPr>
        <w:t xml:space="preserve">Le prix du minerai de fer à 62 % de Fe (indice </w:t>
      </w:r>
      <w:proofErr w:type="spellStart"/>
      <w:r w:rsidRPr="17B7465E">
        <w:rPr>
          <w:lang w:val="fr-FR"/>
        </w:rPr>
        <w:t>Platts</w:t>
      </w:r>
      <w:proofErr w:type="spellEnd"/>
      <w:r w:rsidRPr="17B7465E">
        <w:rPr>
          <w:lang w:val="fr-FR"/>
        </w:rPr>
        <w:t xml:space="preserve"> IODEX) s'est établi en moyenne à 99,76 dollars la tonne métrique sèche en avril 2025, en baisse de 2,6 % par rapport au mois précédent, dans un contexte de détérioration des relations commerciales sino-américaines. Si les indicateurs à court terme en Chine alimentent un optimisme certain, les perspectives à long terme sont moins favorables. Le repli persistant du secteur immobilier chinois s'est stabilisé au premier trimestre</w:t>
      </w:r>
      <w:r w:rsidR="19C9F47C" w:rsidRPr="17B7465E">
        <w:rPr>
          <w:lang w:val="fr-FR"/>
        </w:rPr>
        <w:t xml:space="preserve"> 2025</w:t>
      </w:r>
      <w:r w:rsidRPr="17B7465E">
        <w:rPr>
          <w:lang w:val="fr-FR"/>
        </w:rPr>
        <w:t xml:space="preserve">, tandis que les indices ont montré que le secteur manufacturier national restait globalement en expansion. </w:t>
      </w:r>
      <w:r w:rsidR="048AA3D4" w:rsidRPr="17B7465E">
        <w:rPr>
          <w:lang w:val="fr-FR"/>
        </w:rPr>
        <w:t xml:space="preserve">Selon le rapport précité, </w:t>
      </w:r>
      <w:r w:rsidR="3C42EFB4" w:rsidRPr="17B7465E">
        <w:rPr>
          <w:lang w:val="fr-FR"/>
        </w:rPr>
        <w:t>p</w:t>
      </w:r>
      <w:r w:rsidRPr="17B7465E">
        <w:rPr>
          <w:lang w:val="fr-FR"/>
        </w:rPr>
        <w:t xml:space="preserve">arallèlement, les efforts déployés en Chine pour réduire la production d'acier face à une offre excédentaire nationale devraient également réduire la demande de minerai de fer. </w:t>
      </w:r>
      <w:r w:rsidR="6FD4A9F3" w:rsidRPr="17B7465E">
        <w:rPr>
          <w:lang w:val="fr-FR"/>
        </w:rPr>
        <w:t xml:space="preserve">Ainsi, </w:t>
      </w:r>
      <w:r w:rsidR="2A076880" w:rsidRPr="17B7465E">
        <w:rPr>
          <w:lang w:val="fr-FR"/>
        </w:rPr>
        <w:t>l</w:t>
      </w:r>
      <w:r w:rsidRPr="17B7465E">
        <w:rPr>
          <w:lang w:val="fr-FR"/>
        </w:rPr>
        <w:t>es prévisions de prix consensuelles pour le minerai de fer ont été revues à la baisse de 0,9 % pour 2025.</w:t>
      </w:r>
    </w:p>
    <w:p w14:paraId="14E06B42" w14:textId="03097FA0" w:rsidR="0035629C" w:rsidRDefault="00D03F3B" w:rsidP="003D1F0E">
      <w:pPr>
        <w:spacing w:line="259" w:lineRule="auto"/>
        <w:jc w:val="both"/>
      </w:pPr>
      <w:r>
        <w:rPr>
          <w:noProof/>
        </w:rPr>
        <w:drawing>
          <wp:inline distT="0" distB="0" distL="0" distR="0" wp14:anchorId="5AD42D16" wp14:editId="4380D44B">
            <wp:extent cx="5760720" cy="3691890"/>
            <wp:effectExtent l="0" t="0" r="0" b="3810"/>
            <wp:docPr id="1924889126" name="Picture 1" descr="SN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NL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3691890"/>
                    </a:xfrm>
                    <a:prstGeom prst="rect">
                      <a:avLst/>
                    </a:prstGeom>
                    <a:noFill/>
                    <a:ln>
                      <a:noFill/>
                    </a:ln>
                  </pic:spPr>
                </pic:pic>
              </a:graphicData>
            </a:graphic>
          </wp:inline>
        </w:drawing>
      </w:r>
    </w:p>
    <w:p w14:paraId="37D0313A" w14:textId="08CC383E" w:rsidR="003309AA" w:rsidRPr="000E0FE1" w:rsidRDefault="3BCE170B" w:rsidP="17B7465E">
      <w:pPr>
        <w:rPr>
          <w:lang w:val="fr-FR"/>
        </w:rPr>
      </w:pPr>
      <w:r w:rsidRPr="17B7465E">
        <w:rPr>
          <w:lang w:val="fr-FR"/>
        </w:rPr>
        <w:t>Les prévision</w:t>
      </w:r>
      <w:r w:rsidR="5B876B7B" w:rsidRPr="17B7465E">
        <w:rPr>
          <w:lang w:val="fr-FR"/>
        </w:rPr>
        <w:t>s au niveau de</w:t>
      </w:r>
      <w:r w:rsidRPr="17B7465E">
        <w:rPr>
          <w:lang w:val="fr-FR"/>
        </w:rPr>
        <w:t>s</w:t>
      </w:r>
      <w:r w:rsidR="73CF898D" w:rsidRPr="17B7465E">
        <w:rPr>
          <w:lang w:val="fr-FR"/>
        </w:rPr>
        <w:t xml:space="preserve"> </w:t>
      </w:r>
      <w:hyperlink r:id="rId17" w:history="1">
        <w:r w:rsidR="73CF898D" w:rsidRPr="17B7465E">
          <w:rPr>
            <w:rStyle w:val="Lienhypertexte"/>
            <w:lang w:val="fr-FR"/>
          </w:rPr>
          <w:t>Perspectives récentes de SP Global</w:t>
        </w:r>
      </w:hyperlink>
      <w:r w:rsidRPr="17B7465E">
        <w:rPr>
          <w:lang w:val="fr-FR"/>
        </w:rPr>
        <w:t xml:space="preserve"> tablent sur une baisse progressive des prix du minerai de fer à long terme, passant d'une moyenne estimée à 97,20 $ la tonne métrique sèche en 2025 à un plancher prévu de 80,00 $/t</w:t>
      </w:r>
      <w:r w:rsidR="154D720B" w:rsidRPr="17B7465E">
        <w:rPr>
          <w:lang w:val="fr-FR"/>
        </w:rPr>
        <w:t xml:space="preserve">onne </w:t>
      </w:r>
      <w:r w:rsidRPr="17B7465E">
        <w:rPr>
          <w:lang w:val="fr-FR"/>
        </w:rPr>
        <w:t>m</w:t>
      </w:r>
      <w:r w:rsidR="4FC3015F" w:rsidRPr="17B7465E">
        <w:rPr>
          <w:lang w:val="fr-FR"/>
        </w:rPr>
        <w:t xml:space="preserve">étrique </w:t>
      </w:r>
      <w:r w:rsidRPr="17B7465E">
        <w:rPr>
          <w:lang w:val="fr-FR"/>
        </w:rPr>
        <w:t>s</w:t>
      </w:r>
      <w:r w:rsidR="03105B0B" w:rsidRPr="17B7465E">
        <w:rPr>
          <w:lang w:val="fr-FR"/>
        </w:rPr>
        <w:t>èche (</w:t>
      </w:r>
      <w:proofErr w:type="spellStart"/>
      <w:r w:rsidR="03105B0B" w:rsidRPr="17B7465E">
        <w:rPr>
          <w:lang w:val="fr-FR"/>
        </w:rPr>
        <w:t>tms</w:t>
      </w:r>
      <w:proofErr w:type="spellEnd"/>
      <w:r w:rsidR="03105B0B" w:rsidRPr="17B7465E">
        <w:rPr>
          <w:lang w:val="fr-FR"/>
        </w:rPr>
        <w:t xml:space="preserve"> ou </w:t>
      </w:r>
      <w:proofErr w:type="spellStart"/>
      <w:r w:rsidR="03105B0B" w:rsidRPr="17B7465E">
        <w:rPr>
          <w:lang w:val="fr-FR"/>
        </w:rPr>
        <w:lastRenderedPageBreak/>
        <w:t>dmt</w:t>
      </w:r>
      <w:proofErr w:type="spellEnd"/>
      <w:r w:rsidR="03105B0B" w:rsidRPr="17B7465E">
        <w:rPr>
          <w:lang w:val="fr-FR"/>
        </w:rPr>
        <w:t xml:space="preserve"> en anglais)</w:t>
      </w:r>
      <w:r w:rsidRPr="17B7465E">
        <w:rPr>
          <w:lang w:val="fr-FR"/>
        </w:rPr>
        <w:t xml:space="preserve"> d'ici 2029. Ce recul est principalement attribué à un excédent commercial maritime mondial projeté. Cependant, les prix devraient remonter à 95,00 $/</w:t>
      </w:r>
      <w:proofErr w:type="spellStart"/>
      <w:r w:rsidRPr="17B7465E">
        <w:rPr>
          <w:lang w:val="fr-FR"/>
        </w:rPr>
        <w:t>tms</w:t>
      </w:r>
      <w:proofErr w:type="spellEnd"/>
      <w:r w:rsidRPr="17B7465E">
        <w:rPr>
          <w:lang w:val="fr-FR"/>
        </w:rPr>
        <w:t xml:space="preserve"> d'ici 2035, à mesure que la balance commerciale se resserre.</w:t>
      </w:r>
    </w:p>
    <w:p w14:paraId="465CA29F" w14:textId="5A075712" w:rsidR="00D03F3B" w:rsidRPr="000E0FE1" w:rsidRDefault="7FD05890" w:rsidP="003D1F0E">
      <w:pPr>
        <w:spacing w:line="259" w:lineRule="auto"/>
        <w:jc w:val="both"/>
        <w:rPr>
          <w:lang w:val="fr-FR"/>
        </w:rPr>
      </w:pPr>
      <w:r w:rsidRPr="17B7465E">
        <w:rPr>
          <w:lang w:val="fr-FR"/>
        </w:rPr>
        <w:t xml:space="preserve">Les analystes prévoient d'importants excédents commerciaux de minerai de fer transporté par voie maritime à partir de 2026, grâce au lancement du projet minier de </w:t>
      </w:r>
      <w:proofErr w:type="spellStart"/>
      <w:r w:rsidRPr="17B7465E">
        <w:rPr>
          <w:lang w:val="fr-FR"/>
        </w:rPr>
        <w:t>Simandou</w:t>
      </w:r>
      <w:proofErr w:type="spellEnd"/>
      <w:r w:rsidRPr="17B7465E">
        <w:rPr>
          <w:lang w:val="fr-FR"/>
        </w:rPr>
        <w:t xml:space="preserve"> en Guinée. Ce projet devrait produire du minerai de fer de haute qualité (65 % de teneur en fer) adapté aux hauts fourneaux et aux installations de réduction directe du fer (DRI), avec une capacité de production potentielle maximale de 120 millions de tonnes par an une fois pleinement opérationnel.</w:t>
      </w:r>
    </w:p>
    <w:p w14:paraId="54CCCC76" w14:textId="0F91EFD3" w:rsidR="00105CD9" w:rsidRPr="000E0FE1" w:rsidRDefault="65D5E542" w:rsidP="003D1F0E">
      <w:pPr>
        <w:spacing w:line="259" w:lineRule="auto"/>
        <w:jc w:val="both"/>
        <w:rPr>
          <w:lang w:val="fr-FR"/>
        </w:rPr>
      </w:pPr>
      <w:r w:rsidRPr="17B7465E">
        <w:rPr>
          <w:lang w:val="fr-FR"/>
        </w:rPr>
        <w:t>Selo</w:t>
      </w:r>
      <w:r w:rsidR="3F6CB03D" w:rsidRPr="17B7465E">
        <w:rPr>
          <w:lang w:val="fr-FR"/>
        </w:rPr>
        <w:t xml:space="preserve">n les </w:t>
      </w:r>
      <w:r w:rsidR="64DAE73F" w:rsidRPr="17B7465E">
        <w:rPr>
          <w:lang w:val="fr-FR"/>
        </w:rPr>
        <w:t xml:space="preserve"> </w:t>
      </w:r>
      <w:hyperlink r:id="rId18">
        <w:r w:rsidRPr="17B7465E">
          <w:rPr>
            <w:rStyle w:val="Lienhypertexte"/>
            <w:lang w:val="fr-FR"/>
          </w:rPr>
          <w:t>données historiques de la Banque mondiale sur les prix des matières premières</w:t>
        </w:r>
      </w:hyperlink>
      <w:r w:rsidR="32FAF787" w:rsidRPr="17B7465E">
        <w:rPr>
          <w:lang w:val="fr-FR"/>
        </w:rPr>
        <w:t xml:space="preserve">, </w:t>
      </w:r>
      <w:r w:rsidR="7513D508" w:rsidRPr="17B7465E">
        <w:rPr>
          <w:lang w:val="fr-FR"/>
        </w:rPr>
        <w:t>e</w:t>
      </w:r>
      <w:r w:rsidRPr="17B7465E">
        <w:rPr>
          <w:lang w:val="fr-FR"/>
        </w:rPr>
        <w:t xml:space="preserve">ntre 2015 et 2024, le prix du minerai de fer s'est établi en moyenne à 97 $/tonne sèche. </w:t>
      </w:r>
      <w:r w:rsidR="2C94E848" w:rsidRPr="17B7465E">
        <w:rPr>
          <w:lang w:val="fr-FR"/>
        </w:rPr>
        <w:t>L</w:t>
      </w:r>
      <w:r w:rsidRPr="17B7465E">
        <w:rPr>
          <w:lang w:val="fr-FR"/>
        </w:rPr>
        <w:t xml:space="preserve">es prix les plus bas enregistrés durant </w:t>
      </w:r>
      <w:r w:rsidR="11CF2B69" w:rsidRPr="17B7465E">
        <w:rPr>
          <w:lang w:val="fr-FR"/>
        </w:rPr>
        <w:t>la</w:t>
      </w:r>
      <w:r w:rsidRPr="17B7465E">
        <w:rPr>
          <w:lang w:val="fr-FR"/>
        </w:rPr>
        <w:t xml:space="preserve"> période, notamment entre 2015 et 2019, le prix moyen est tombé à 70 $/tonne sèche.</w:t>
      </w:r>
    </w:p>
    <w:p w14:paraId="02B7450D" w14:textId="472157A7" w:rsidR="004D3BD6" w:rsidRDefault="004D3BD6" w:rsidP="003D1F0E">
      <w:pPr>
        <w:spacing w:line="259" w:lineRule="auto"/>
        <w:jc w:val="both"/>
      </w:pPr>
      <w:r w:rsidRPr="004D3BD6">
        <w:rPr>
          <w:noProof/>
        </w:rPr>
        <w:drawing>
          <wp:inline distT="0" distB="0" distL="0" distR="0" wp14:anchorId="099ABEFA" wp14:editId="109D1FBD">
            <wp:extent cx="5588287" cy="4134062"/>
            <wp:effectExtent l="0" t="0" r="0" b="0"/>
            <wp:docPr id="172379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792636" name=""/>
                    <pic:cNvPicPr/>
                  </pic:nvPicPr>
                  <pic:blipFill>
                    <a:blip r:embed="rId19"/>
                    <a:stretch>
                      <a:fillRect/>
                    </a:stretch>
                  </pic:blipFill>
                  <pic:spPr>
                    <a:xfrm>
                      <a:off x="0" y="0"/>
                      <a:ext cx="5588287" cy="4134062"/>
                    </a:xfrm>
                    <a:prstGeom prst="rect">
                      <a:avLst/>
                    </a:prstGeom>
                  </pic:spPr>
                </pic:pic>
              </a:graphicData>
            </a:graphic>
          </wp:inline>
        </w:drawing>
      </w:r>
    </w:p>
    <w:p w14:paraId="7C0AE670" w14:textId="06D9285A" w:rsidR="001C7839" w:rsidRDefault="0A9A36B9" w:rsidP="14AD5C78">
      <w:pPr>
        <w:spacing w:line="259" w:lineRule="auto"/>
        <w:jc w:val="both"/>
        <w:rPr>
          <w:lang w:val="fr-FR"/>
        </w:rPr>
      </w:pPr>
      <w:r w:rsidRPr="17B7465E">
        <w:rPr>
          <w:lang w:val="fr-FR"/>
        </w:rPr>
        <w:t>Sur la base des hypothèses ci-dessus, trois (3) scénarios de prix seront considérés à des fins de modélisation : un scénario de base de 80 $/</w:t>
      </w:r>
      <w:proofErr w:type="spellStart"/>
      <w:r w:rsidR="2951260A" w:rsidRPr="17B7465E">
        <w:rPr>
          <w:lang w:val="fr-FR"/>
        </w:rPr>
        <w:t>tms</w:t>
      </w:r>
      <w:proofErr w:type="spellEnd"/>
      <w:r w:rsidRPr="17B7465E">
        <w:rPr>
          <w:lang w:val="fr-FR"/>
        </w:rPr>
        <w:t>, un scénario bas de 70 $/</w:t>
      </w:r>
      <w:proofErr w:type="spellStart"/>
      <w:r w:rsidR="2A5BA6B6" w:rsidRPr="17B7465E">
        <w:rPr>
          <w:lang w:val="fr-FR"/>
        </w:rPr>
        <w:t>tms</w:t>
      </w:r>
      <w:proofErr w:type="spellEnd"/>
      <w:r w:rsidRPr="17B7465E">
        <w:rPr>
          <w:lang w:val="fr-FR"/>
        </w:rPr>
        <w:t xml:space="preserve"> et un scénario optimiste de 100 $/</w:t>
      </w:r>
      <w:proofErr w:type="spellStart"/>
      <w:r w:rsidRPr="17B7465E">
        <w:rPr>
          <w:lang w:val="fr-FR"/>
        </w:rPr>
        <w:t>t</w:t>
      </w:r>
      <w:r w:rsidR="4A4B774E" w:rsidRPr="17B7465E">
        <w:rPr>
          <w:lang w:val="fr-FR"/>
        </w:rPr>
        <w:t>ms</w:t>
      </w:r>
      <w:proofErr w:type="spellEnd"/>
      <w:r w:rsidRPr="17B7465E">
        <w:rPr>
          <w:lang w:val="fr-FR"/>
        </w:rPr>
        <w:t>.</w:t>
      </w:r>
    </w:p>
    <w:tbl>
      <w:tblPr>
        <w:tblStyle w:val="TableauGrille5Fonc-Accentuation1"/>
        <w:tblW w:w="9062" w:type="dxa"/>
        <w:tblLook w:val="04A0" w:firstRow="1" w:lastRow="0" w:firstColumn="1" w:lastColumn="0" w:noHBand="0" w:noVBand="1"/>
      </w:tblPr>
      <w:tblGrid>
        <w:gridCol w:w="1248"/>
        <w:gridCol w:w="1365"/>
        <w:gridCol w:w="5029"/>
        <w:gridCol w:w="1420"/>
      </w:tblGrid>
      <w:tr w:rsidR="000E0FE1" w14:paraId="6C686DC4" w14:textId="77777777" w:rsidTr="008D179A">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248" w:type="dxa"/>
            <w:hideMark/>
          </w:tcPr>
          <w:p w14:paraId="040CBD22" w14:textId="77777777" w:rsidR="000E0FE1" w:rsidRDefault="134D247B" w:rsidP="2FF8E5A1">
            <w:pPr>
              <w:spacing w:before="0" w:after="0"/>
              <w:jc w:val="center"/>
              <w:rPr>
                <w:rFonts w:ascii="Times New Roman" w:hAnsi="Times New Roman"/>
                <w:sz w:val="24"/>
                <w:lang w:val="en-US"/>
              </w:rPr>
            </w:pPr>
            <w:proofErr w:type="spellStart"/>
            <w:r w:rsidRPr="4CC14389">
              <w:rPr>
                <w:b w:val="0"/>
                <w:bCs w:val="0"/>
                <w:lang w:val="en-US"/>
              </w:rPr>
              <w:t>Scénario</w:t>
            </w:r>
            <w:proofErr w:type="spellEnd"/>
          </w:p>
        </w:tc>
        <w:tc>
          <w:tcPr>
            <w:tcW w:w="1365" w:type="dxa"/>
            <w:hideMark/>
          </w:tcPr>
          <w:p w14:paraId="77C07E7D" w14:textId="77777777" w:rsidR="000E0FE1" w:rsidRDefault="134D247B" w:rsidP="2FF8E5A1">
            <w:pPr>
              <w:jc w:val="right"/>
              <w:cnfStyle w:val="100000000000" w:firstRow="1" w:lastRow="0" w:firstColumn="0" w:lastColumn="0" w:oddVBand="0" w:evenVBand="0" w:oddHBand="0" w:evenHBand="0" w:firstRowFirstColumn="0" w:firstRowLastColumn="0" w:lastRowFirstColumn="0" w:lastRowLastColumn="0"/>
              <w:rPr>
                <w:b w:val="0"/>
                <w:bCs w:val="0"/>
                <w:lang w:val="en-US"/>
              </w:rPr>
            </w:pPr>
            <w:r w:rsidRPr="4CC14389">
              <w:rPr>
                <w:b w:val="0"/>
                <w:bCs w:val="0"/>
                <w:lang w:val="en-US"/>
              </w:rPr>
              <w:t xml:space="preserve">Prix </w:t>
            </w:r>
            <w:proofErr w:type="spellStart"/>
            <w:r w:rsidRPr="4CC14389">
              <w:rPr>
                <w:b w:val="0"/>
                <w:bCs w:val="0"/>
                <w:lang w:val="en-US"/>
              </w:rPr>
              <w:t>retenu</w:t>
            </w:r>
            <w:proofErr w:type="spellEnd"/>
            <w:r w:rsidRPr="4CC14389">
              <w:rPr>
                <w:b w:val="0"/>
                <w:bCs w:val="0"/>
                <w:lang w:val="en-US"/>
              </w:rPr>
              <w:t xml:space="preserve"> (USD/t)</w:t>
            </w:r>
          </w:p>
        </w:tc>
        <w:tc>
          <w:tcPr>
            <w:tcW w:w="5029" w:type="dxa"/>
            <w:hideMark/>
          </w:tcPr>
          <w:p w14:paraId="2EC18A01" w14:textId="77777777" w:rsidR="000E0FE1" w:rsidRDefault="134D247B" w:rsidP="2FF8E5A1">
            <w:pPr>
              <w:jc w:val="cente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sidRPr="4CC14389">
              <w:rPr>
                <w:b w:val="0"/>
                <w:bCs w:val="0"/>
                <w:lang w:val="en-US"/>
              </w:rPr>
              <w:t>Justificatif</w:t>
            </w:r>
            <w:proofErr w:type="spellEnd"/>
          </w:p>
        </w:tc>
        <w:tc>
          <w:tcPr>
            <w:tcW w:w="1420" w:type="dxa"/>
            <w:hideMark/>
          </w:tcPr>
          <w:p w14:paraId="51D8274C" w14:textId="77777777" w:rsidR="000E0FE1" w:rsidRDefault="134D247B" w:rsidP="2FF8E5A1">
            <w:pPr>
              <w:jc w:val="center"/>
              <w:cnfStyle w:val="100000000000" w:firstRow="1" w:lastRow="0" w:firstColumn="0" w:lastColumn="0" w:oddVBand="0" w:evenVBand="0" w:oddHBand="0" w:evenHBand="0" w:firstRowFirstColumn="0" w:firstRowLastColumn="0" w:lastRowFirstColumn="0" w:lastRowLastColumn="0"/>
              <w:rPr>
                <w:b w:val="0"/>
                <w:bCs w:val="0"/>
                <w:lang w:val="en-US"/>
              </w:rPr>
            </w:pPr>
            <w:r w:rsidRPr="4CC14389">
              <w:rPr>
                <w:b w:val="0"/>
                <w:bCs w:val="0"/>
                <w:lang w:val="en-US"/>
              </w:rPr>
              <w:t xml:space="preserve">Sources </w:t>
            </w:r>
            <w:proofErr w:type="spellStart"/>
            <w:r w:rsidRPr="4CC14389">
              <w:rPr>
                <w:b w:val="0"/>
                <w:bCs w:val="0"/>
                <w:lang w:val="en-US"/>
              </w:rPr>
              <w:t>principales</w:t>
            </w:r>
            <w:proofErr w:type="spellEnd"/>
          </w:p>
        </w:tc>
      </w:tr>
      <w:tr w:rsidR="000E0FE1" w14:paraId="1DD263EC" w14:textId="77777777" w:rsidTr="17B746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8" w:type="dxa"/>
            <w:hideMark/>
          </w:tcPr>
          <w:p w14:paraId="7D47EC43" w14:textId="77777777" w:rsidR="000E0FE1" w:rsidRDefault="134D247B">
            <w:pPr>
              <w:rPr>
                <w:b w:val="0"/>
                <w:bCs w:val="0"/>
              </w:rPr>
            </w:pPr>
            <w:r w:rsidRPr="4CC14389">
              <w:rPr>
                <w:rStyle w:val="lev"/>
              </w:rPr>
              <w:t>Low case</w:t>
            </w:r>
          </w:p>
        </w:tc>
        <w:tc>
          <w:tcPr>
            <w:tcW w:w="1365" w:type="dxa"/>
            <w:hideMark/>
          </w:tcPr>
          <w:p w14:paraId="4B3FD47A" w14:textId="77777777" w:rsidR="000E0FE1" w:rsidRDefault="134D247B">
            <w:pPr>
              <w:jc w:val="right"/>
              <w:cnfStyle w:val="000000100000" w:firstRow="0" w:lastRow="0" w:firstColumn="0" w:lastColumn="0" w:oddVBand="0" w:evenVBand="0" w:oddHBand="1" w:evenHBand="0" w:firstRowFirstColumn="0" w:firstRowLastColumn="0" w:lastRowFirstColumn="0" w:lastRowLastColumn="0"/>
            </w:pPr>
            <w:r w:rsidRPr="4CC14389">
              <w:rPr>
                <w:rStyle w:val="lev"/>
              </w:rPr>
              <w:t>70 $ / t</w:t>
            </w:r>
          </w:p>
        </w:tc>
        <w:tc>
          <w:tcPr>
            <w:tcW w:w="5029" w:type="dxa"/>
            <w:hideMark/>
          </w:tcPr>
          <w:p w14:paraId="6AC73C30" w14:textId="3A64BC6E" w:rsidR="000E0FE1" w:rsidRPr="000E0FE1" w:rsidRDefault="2166402F">
            <w:pPr>
              <w:cnfStyle w:val="000000100000" w:firstRow="0" w:lastRow="0" w:firstColumn="0" w:lastColumn="0" w:oddVBand="0" w:evenVBand="0" w:oddHBand="1" w:evenHBand="0" w:firstRowFirstColumn="0" w:firstRowLastColumn="0" w:lastRowFirstColumn="0" w:lastRowLastColumn="0"/>
              <w:rPr>
                <w:lang w:val="fr-FR"/>
              </w:rPr>
            </w:pPr>
            <w:r w:rsidRPr="17B7465E">
              <w:rPr>
                <w:lang w:val="fr-FR"/>
              </w:rPr>
              <w:t xml:space="preserve">Même raisonnement que précédemment : risque de demande faible, surplus avec l’entrée de </w:t>
            </w:r>
            <w:proofErr w:type="spellStart"/>
            <w:r w:rsidRPr="17B7465E">
              <w:rPr>
                <w:lang w:val="fr-FR"/>
              </w:rPr>
              <w:t>Simandou</w:t>
            </w:r>
            <w:proofErr w:type="spellEnd"/>
            <w:r w:rsidRPr="17B7465E">
              <w:rPr>
                <w:lang w:val="fr-FR"/>
              </w:rPr>
              <w:t xml:space="preserve"> mine, pression à la baisse vers ~70 $/t.</w:t>
            </w:r>
          </w:p>
        </w:tc>
        <w:tc>
          <w:tcPr>
            <w:tcW w:w="1420" w:type="dxa"/>
            <w:hideMark/>
          </w:tcPr>
          <w:p w14:paraId="785CDE8B" w14:textId="77777777" w:rsidR="000E0FE1" w:rsidRDefault="134D247B">
            <w:pPr>
              <w:cnfStyle w:val="000000100000" w:firstRow="0" w:lastRow="0" w:firstColumn="0" w:lastColumn="0" w:oddVBand="0" w:evenVBand="0" w:oddHBand="1" w:evenHBand="0" w:firstRowFirstColumn="0" w:firstRowLastColumn="0" w:lastRowFirstColumn="0" w:lastRowLastColumn="0"/>
            </w:pPr>
            <w:r>
              <w:t>(</w:t>
            </w:r>
            <w:hyperlink r:id="rId20">
              <w:r w:rsidRPr="4CC14389">
                <w:rPr>
                  <w:rStyle w:val="Lienhypertexte"/>
                </w:rPr>
                <w:t>S&amp;P Global</w:t>
              </w:r>
            </w:hyperlink>
            <w:r>
              <w:t>)</w:t>
            </w:r>
          </w:p>
        </w:tc>
      </w:tr>
      <w:tr w:rsidR="000E0FE1" w14:paraId="712E6487"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248" w:type="dxa"/>
            <w:hideMark/>
          </w:tcPr>
          <w:p w14:paraId="2B501E17" w14:textId="77777777" w:rsidR="000E0FE1" w:rsidRDefault="134D247B">
            <w:proofErr w:type="spellStart"/>
            <w:r w:rsidRPr="4CC14389">
              <w:rPr>
                <w:rStyle w:val="lev"/>
                <w:lang w:val="en-US"/>
              </w:rPr>
              <w:lastRenderedPageBreak/>
              <w:t>Scénario</w:t>
            </w:r>
            <w:proofErr w:type="spellEnd"/>
            <w:r w:rsidRPr="4CC14389">
              <w:rPr>
                <w:rStyle w:val="lev"/>
                <w:lang w:val="en-US"/>
              </w:rPr>
              <w:t xml:space="preserve"> de base</w:t>
            </w:r>
          </w:p>
        </w:tc>
        <w:tc>
          <w:tcPr>
            <w:tcW w:w="1365" w:type="dxa"/>
            <w:hideMark/>
          </w:tcPr>
          <w:p w14:paraId="3B9F2B87" w14:textId="77777777" w:rsidR="000E0FE1" w:rsidRDefault="134D247B">
            <w:pPr>
              <w:jc w:val="right"/>
              <w:cnfStyle w:val="000000000000" w:firstRow="0" w:lastRow="0" w:firstColumn="0" w:lastColumn="0" w:oddVBand="0" w:evenVBand="0" w:oddHBand="0" w:evenHBand="0" w:firstRowFirstColumn="0" w:firstRowLastColumn="0" w:lastRowFirstColumn="0" w:lastRowLastColumn="0"/>
            </w:pPr>
            <w:r w:rsidRPr="4CC14389">
              <w:rPr>
                <w:rStyle w:val="lev"/>
              </w:rPr>
              <w:t>80 $ / t</w:t>
            </w:r>
          </w:p>
        </w:tc>
        <w:tc>
          <w:tcPr>
            <w:tcW w:w="5029" w:type="dxa"/>
            <w:hideMark/>
          </w:tcPr>
          <w:p w14:paraId="6455A558" w14:textId="4068CC06" w:rsidR="000E0FE1" w:rsidRPr="000E0FE1" w:rsidRDefault="2166402F">
            <w:pPr>
              <w:cnfStyle w:val="000000000000" w:firstRow="0" w:lastRow="0" w:firstColumn="0" w:lastColumn="0" w:oddVBand="0" w:evenVBand="0" w:oddHBand="0" w:evenHBand="0" w:firstRowFirstColumn="0" w:firstRowLastColumn="0" w:lastRowFirstColumn="0" w:lastRowLastColumn="0"/>
              <w:rPr>
                <w:lang w:val="fr-FR"/>
              </w:rPr>
            </w:pPr>
            <w:r w:rsidRPr="17B7465E">
              <w:rPr>
                <w:lang w:val="fr-FR"/>
              </w:rPr>
              <w:t xml:space="preserve">S’appuie sur la projection de S&amp;P Global qui anticipe un prix de </w:t>
            </w:r>
            <w:r w:rsidRPr="17B7465E">
              <w:rPr>
                <w:rStyle w:val="lev"/>
                <w:lang w:val="fr-FR"/>
              </w:rPr>
              <w:t>80 $/t</w:t>
            </w:r>
            <w:r w:rsidRPr="17B7465E">
              <w:rPr>
                <w:lang w:val="fr-FR"/>
              </w:rPr>
              <w:t xml:space="preserve"> d’ici 2029 dans un contexte de surplus progressif. (</w:t>
            </w:r>
            <w:hyperlink r:id="rId21">
              <w:r w:rsidRPr="17B7465E">
                <w:rPr>
                  <w:rStyle w:val="Lienhypertexte"/>
                  <w:lang w:val="fr-FR"/>
                </w:rPr>
                <w:t>S&amp;P Global</w:t>
              </w:r>
            </w:hyperlink>
            <w:r w:rsidRPr="17B7465E">
              <w:rPr>
                <w:lang w:val="fr-FR"/>
              </w:rPr>
              <w:t>)</w:t>
            </w:r>
            <w:r w:rsidR="7EDD514E" w:rsidRPr="17B7465E">
              <w:rPr>
                <w:lang w:val="fr-FR"/>
              </w:rPr>
              <w:t>.</w:t>
            </w:r>
            <w:r w:rsidRPr="17B7465E">
              <w:rPr>
                <w:lang w:val="fr-FR"/>
              </w:rPr>
              <w:t xml:space="preserve"> Ce scénario suppose une demande modérée — ni fort rebond, ni effondrement.</w:t>
            </w:r>
          </w:p>
        </w:tc>
        <w:tc>
          <w:tcPr>
            <w:tcW w:w="1420" w:type="dxa"/>
            <w:hideMark/>
          </w:tcPr>
          <w:p w14:paraId="44B50FDD" w14:textId="77777777" w:rsidR="000E0FE1" w:rsidRDefault="134D247B">
            <w:pPr>
              <w:cnfStyle w:val="000000000000" w:firstRow="0" w:lastRow="0" w:firstColumn="0" w:lastColumn="0" w:oddVBand="0" w:evenVBand="0" w:oddHBand="0" w:evenHBand="0" w:firstRowFirstColumn="0" w:firstRowLastColumn="0" w:lastRowFirstColumn="0" w:lastRowLastColumn="0"/>
            </w:pPr>
            <w:r w:rsidRPr="4CC14389">
              <w:rPr>
                <w:lang w:val="en-US"/>
              </w:rPr>
              <w:t>Voir sources ci-</w:t>
            </w:r>
            <w:proofErr w:type="spellStart"/>
            <w:r w:rsidRPr="4CC14389">
              <w:rPr>
                <w:lang w:val="en-US"/>
              </w:rPr>
              <w:t>contre</w:t>
            </w:r>
            <w:proofErr w:type="spellEnd"/>
          </w:p>
        </w:tc>
      </w:tr>
      <w:tr w:rsidR="000E0FE1" w14:paraId="4F324258" w14:textId="77777777" w:rsidTr="17B746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48" w:type="dxa"/>
            <w:hideMark/>
          </w:tcPr>
          <w:p w14:paraId="1BD387AE" w14:textId="77777777" w:rsidR="000E0FE1" w:rsidRDefault="134D247B">
            <w:proofErr w:type="spellStart"/>
            <w:r w:rsidRPr="4CC14389">
              <w:rPr>
                <w:rStyle w:val="lev"/>
                <w:lang w:val="en-US"/>
              </w:rPr>
              <w:t>Scénario</w:t>
            </w:r>
            <w:proofErr w:type="spellEnd"/>
            <w:r w:rsidRPr="4CC14389">
              <w:rPr>
                <w:rStyle w:val="lev"/>
                <w:lang w:val="en-US"/>
              </w:rPr>
              <w:t xml:space="preserve"> </w:t>
            </w:r>
            <w:proofErr w:type="spellStart"/>
            <w:r w:rsidRPr="4CC14389">
              <w:rPr>
                <w:rStyle w:val="lev"/>
                <w:lang w:val="en-US"/>
              </w:rPr>
              <w:t>optimiste</w:t>
            </w:r>
            <w:proofErr w:type="spellEnd"/>
          </w:p>
        </w:tc>
        <w:tc>
          <w:tcPr>
            <w:tcW w:w="1365" w:type="dxa"/>
            <w:hideMark/>
          </w:tcPr>
          <w:p w14:paraId="1D08E2C6" w14:textId="77777777" w:rsidR="000E0FE1" w:rsidRDefault="134D247B">
            <w:pPr>
              <w:jc w:val="right"/>
              <w:cnfStyle w:val="000000100000" w:firstRow="0" w:lastRow="0" w:firstColumn="0" w:lastColumn="0" w:oddVBand="0" w:evenVBand="0" w:oddHBand="1" w:evenHBand="0" w:firstRowFirstColumn="0" w:firstRowLastColumn="0" w:lastRowFirstColumn="0" w:lastRowLastColumn="0"/>
            </w:pPr>
            <w:r w:rsidRPr="4CC14389">
              <w:rPr>
                <w:rStyle w:val="lev"/>
              </w:rPr>
              <w:t>100 $ / t</w:t>
            </w:r>
          </w:p>
        </w:tc>
        <w:tc>
          <w:tcPr>
            <w:tcW w:w="5029" w:type="dxa"/>
            <w:hideMark/>
          </w:tcPr>
          <w:p w14:paraId="78F0811F" w14:textId="16ED4199" w:rsidR="000E0FE1" w:rsidRPr="000E0FE1" w:rsidRDefault="2166402F">
            <w:pPr>
              <w:cnfStyle w:val="000000100000" w:firstRow="0" w:lastRow="0" w:firstColumn="0" w:lastColumn="0" w:oddVBand="0" w:evenVBand="0" w:oddHBand="1" w:evenHBand="0" w:firstRowFirstColumn="0" w:firstRowLastColumn="0" w:lastRowFirstColumn="0" w:lastRowLastColumn="0"/>
              <w:rPr>
                <w:lang w:val="fr-FR"/>
              </w:rPr>
            </w:pPr>
            <w:r w:rsidRPr="17B7465E">
              <w:rPr>
                <w:lang w:val="fr-FR"/>
              </w:rPr>
              <w:t>Si la demande repart fortement (notamment en Chine), ou si des perturbations d’offre interviennent (ex : réduction de capacités concurrentes), alors 100 $/t est plausible.</w:t>
            </w:r>
          </w:p>
        </w:tc>
        <w:tc>
          <w:tcPr>
            <w:tcW w:w="1420" w:type="dxa"/>
            <w:hideMark/>
          </w:tcPr>
          <w:p w14:paraId="3D966F22" w14:textId="3D837B5D" w:rsidR="000E0FE1" w:rsidRDefault="2166402F">
            <w:pPr>
              <w:cnfStyle w:val="000000100000" w:firstRow="0" w:lastRow="0" w:firstColumn="0" w:lastColumn="0" w:oddVBand="0" w:evenVBand="0" w:oddHBand="1" w:evenHBand="0" w:firstRowFirstColumn="0" w:firstRowLastColumn="0" w:lastRowFirstColumn="0" w:lastRowLastColumn="0"/>
            </w:pPr>
            <w:r>
              <w:t>(</w:t>
            </w:r>
            <w:hyperlink r:id="rId22">
              <w:r w:rsidRPr="17B7465E">
                <w:rPr>
                  <w:rStyle w:val="Lienhypertexte"/>
                </w:rPr>
                <w:t>DJJ</w:t>
              </w:r>
            </w:hyperlink>
            <w:r w:rsidR="2DDE73C0">
              <w:t xml:space="preserve">  &amp; </w:t>
            </w:r>
            <w:hyperlink r:id="rId23">
              <w:r w:rsidR="2DDE73C0" w:rsidRPr="17B7465E">
                <w:rPr>
                  <w:rStyle w:val="Lienhypertexte"/>
                </w:rPr>
                <w:t>S&amp;P Global</w:t>
              </w:r>
            </w:hyperlink>
            <w:r>
              <w:t>)</w:t>
            </w:r>
            <w:r w:rsidR="7434E85E">
              <w:t xml:space="preserve"> </w:t>
            </w:r>
          </w:p>
        </w:tc>
      </w:tr>
    </w:tbl>
    <w:p w14:paraId="61BC09A2" w14:textId="57154868" w:rsidR="008B46C8" w:rsidRPr="008B46C8" w:rsidRDefault="2EABA48F" w:rsidP="17B7465E">
      <w:pPr>
        <w:pStyle w:val="Titre2"/>
        <w:spacing w:line="259" w:lineRule="auto"/>
        <w:jc w:val="both"/>
      </w:pPr>
      <w:r>
        <w:t>Méthodologie utilisée pour le modèle financier</w:t>
      </w:r>
      <w:bookmarkStart w:id="3" w:name="_Toc203392797"/>
      <w:bookmarkEnd w:id="3"/>
    </w:p>
    <w:p w14:paraId="60BF9260" w14:textId="031F423C" w:rsidR="00E71861" w:rsidRPr="000E0FE1" w:rsidRDefault="0C5941C1" w:rsidP="006E5B93">
      <w:pPr>
        <w:spacing w:line="259" w:lineRule="auto"/>
        <w:jc w:val="both"/>
        <w:rPr>
          <w:lang w:val="fr-FR"/>
        </w:rPr>
      </w:pPr>
      <w:r w:rsidRPr="17B7465E">
        <w:rPr>
          <w:lang w:val="fr-FR"/>
        </w:rPr>
        <w:t xml:space="preserve">Le Comité de Pilotage </w:t>
      </w:r>
      <w:r w:rsidR="172BF62F" w:rsidRPr="17B7465E">
        <w:rPr>
          <w:lang w:val="fr-FR"/>
        </w:rPr>
        <w:t>a entrepris</w:t>
      </w:r>
      <w:r w:rsidR="2ECD9AD4" w:rsidRPr="17B7465E">
        <w:rPr>
          <w:lang w:val="fr-FR"/>
        </w:rPr>
        <w:t xml:space="preserve"> </w:t>
      </w:r>
      <w:r w:rsidR="60455E4D" w:rsidRPr="17B7465E">
        <w:rPr>
          <w:lang w:val="fr-FR"/>
        </w:rPr>
        <w:t xml:space="preserve">le projet de modélisation financière utilisant le modèle </w:t>
      </w:r>
      <w:r w:rsidR="4A2DBA8D" w:rsidRPr="17B7465E">
        <w:rPr>
          <w:lang w:val="fr-FR"/>
        </w:rPr>
        <w:t>FARI grâce</w:t>
      </w:r>
      <w:r w:rsidR="5FE1C8D9" w:rsidRPr="17B7465E">
        <w:rPr>
          <w:lang w:val="fr-FR"/>
        </w:rPr>
        <w:t xml:space="preserve"> aux</w:t>
      </w:r>
      <w:r w:rsidR="4EDA9042" w:rsidRPr="17B7465E">
        <w:rPr>
          <w:lang w:val="fr-FR"/>
        </w:rPr>
        <w:t xml:space="preserve"> travaux </w:t>
      </w:r>
      <w:r w:rsidR="60455E4D" w:rsidRPr="17B7465E">
        <w:rPr>
          <w:lang w:val="fr-FR"/>
        </w:rPr>
        <w:t>d</w:t>
      </w:r>
      <w:r w:rsidR="5E0A438E" w:rsidRPr="17B7465E">
        <w:rPr>
          <w:lang w:val="fr-FR"/>
        </w:rPr>
        <w:t>e l</w:t>
      </w:r>
      <w:r w:rsidR="60455E4D" w:rsidRPr="17B7465E">
        <w:rPr>
          <w:lang w:val="fr-FR"/>
        </w:rPr>
        <w:t>'économiste Bernab</w:t>
      </w:r>
      <w:r w:rsidR="54435528" w:rsidRPr="17B7465E">
        <w:rPr>
          <w:lang w:val="fr-FR"/>
        </w:rPr>
        <w:t>é</w:t>
      </w:r>
      <w:r w:rsidR="60455E4D" w:rsidRPr="17B7465E">
        <w:rPr>
          <w:lang w:val="fr-FR"/>
        </w:rPr>
        <w:t xml:space="preserve"> Sanchez.</w:t>
      </w:r>
    </w:p>
    <w:p w14:paraId="4BC64297" w14:textId="77777777" w:rsidR="00CA3F96" w:rsidRPr="000E0FE1" w:rsidRDefault="00CA3F96" w:rsidP="00CA3F96">
      <w:pPr>
        <w:spacing w:line="259" w:lineRule="auto"/>
        <w:jc w:val="both"/>
        <w:rPr>
          <w:lang w:val="fr-FR"/>
        </w:rPr>
      </w:pPr>
      <w:r w:rsidRPr="4CC14389">
        <w:rPr>
          <w:lang w:val="fr-FR"/>
        </w:rPr>
        <w:t>Le FMI a développé le modèle d’analyse fiscale des industries extractives (FARI) afin d’évaluer les régimes fiscaux des industries extractives et de prévoir et gérer leurs recettes. La dernière mise à jour du modèle, datant de 2023, est accessible au public et peut être utilisée pour des évaluations indépendantes de l’impact fiscal de projets miniers spécifiques. À titre d’exemple, Kourouma (2019) l’applique à l’évaluation du projet d’exploitation de bauxite d’</w:t>
      </w:r>
      <w:proofErr w:type="spellStart"/>
      <w:r w:rsidRPr="4CC14389">
        <w:rPr>
          <w:lang w:val="fr-FR"/>
        </w:rPr>
        <w:t>Alufer</w:t>
      </w:r>
      <w:proofErr w:type="spellEnd"/>
      <w:r w:rsidRPr="4CC14389">
        <w:rPr>
          <w:lang w:val="fr-FR"/>
        </w:rPr>
        <w:t xml:space="preserve"> en Guinée.</w:t>
      </w:r>
    </w:p>
    <w:p w14:paraId="0FF57778" w14:textId="1E687ECA" w:rsidR="00CA3F96" w:rsidRPr="000E0FE1" w:rsidRDefault="00805DEF" w:rsidP="00CA3F96">
      <w:pPr>
        <w:spacing w:line="259" w:lineRule="auto"/>
        <w:jc w:val="both"/>
        <w:rPr>
          <w:lang w:val="fr-FR"/>
        </w:rPr>
      </w:pPr>
      <w:r w:rsidRPr="4CC14389">
        <w:rPr>
          <w:lang w:val="fr-FR"/>
        </w:rPr>
        <w:t xml:space="preserve">L’ITIE a proposé d’utiliser le modèle de manière similaire pour estimer les revenus supplémentaires attendus de </w:t>
      </w:r>
      <w:proofErr w:type="spellStart"/>
      <w:r w:rsidRPr="4CC14389">
        <w:rPr>
          <w:lang w:val="fr-FR"/>
        </w:rPr>
        <w:t>Simandou</w:t>
      </w:r>
      <w:proofErr w:type="spellEnd"/>
      <w:r w:rsidRPr="4CC14389">
        <w:rPr>
          <w:lang w:val="fr-FR"/>
        </w:rPr>
        <w:t xml:space="preserve"> et pour effectuer une analyse de sensibilité de sa résilience aux différents prix du minerai de fer.</w:t>
      </w:r>
    </w:p>
    <w:p w14:paraId="56F4FD8D" w14:textId="41C42ECB" w:rsidR="00CA3F96" w:rsidRPr="000E0FE1" w:rsidRDefault="4B9C59F2" w:rsidP="00CA3F96">
      <w:pPr>
        <w:spacing w:line="259" w:lineRule="auto"/>
        <w:jc w:val="both"/>
        <w:rPr>
          <w:lang w:val="fr-FR"/>
        </w:rPr>
      </w:pPr>
      <w:r w:rsidRPr="17B7465E">
        <w:rPr>
          <w:lang w:val="fr-FR"/>
        </w:rPr>
        <w:t xml:space="preserve">Dans un souci de transparence, il est proposé d'utiliser les versions les plus récentes des accords miniers de Rio Tinto </w:t>
      </w:r>
      <w:proofErr w:type="spellStart"/>
      <w:r w:rsidRPr="17B7465E">
        <w:rPr>
          <w:lang w:val="fr-FR"/>
        </w:rPr>
        <w:t>Simfer</w:t>
      </w:r>
      <w:proofErr w:type="spellEnd"/>
      <w:r w:rsidRPr="17B7465E">
        <w:rPr>
          <w:lang w:val="fr-FR"/>
        </w:rPr>
        <w:t xml:space="preserve"> et de WCS, ainsi que de l'accord relatif aux infrastructures ferroviaires et portuaires de CTG. Malheureusement, ces accords n'ont pas encore été rendus publics. </w:t>
      </w:r>
      <w:r w:rsidR="5D5B67F1" w:rsidRPr="17B7465E">
        <w:rPr>
          <w:lang w:val="fr-FR"/>
        </w:rPr>
        <w:t>Néanmoins</w:t>
      </w:r>
      <w:r w:rsidRPr="17B7465E">
        <w:rPr>
          <w:lang w:val="fr-FR"/>
        </w:rPr>
        <w:t xml:space="preserve">, </w:t>
      </w:r>
      <w:r w:rsidR="2576532F" w:rsidRPr="17B7465E">
        <w:rPr>
          <w:lang w:val="fr-FR"/>
        </w:rPr>
        <w:t xml:space="preserve">le compromis </w:t>
      </w:r>
      <w:r w:rsidRPr="17B7465E">
        <w:rPr>
          <w:lang w:val="fr-FR"/>
        </w:rPr>
        <w:t xml:space="preserve">consiste à utiliser les hypothèses fiscales disponibles publiquement pour WCS dans la version 2020 de son accord minier, et pour la mine de Rio Tinto </w:t>
      </w:r>
      <w:proofErr w:type="spellStart"/>
      <w:r w:rsidRPr="17B7465E">
        <w:rPr>
          <w:lang w:val="fr-FR"/>
        </w:rPr>
        <w:t>Simfer</w:t>
      </w:r>
      <w:proofErr w:type="spellEnd"/>
      <w:r w:rsidRPr="17B7465E">
        <w:rPr>
          <w:lang w:val="fr-FR"/>
        </w:rPr>
        <w:t xml:space="preserve"> </w:t>
      </w:r>
      <w:r w:rsidR="3192FA87" w:rsidRPr="17B7465E">
        <w:rPr>
          <w:lang w:val="fr-FR"/>
        </w:rPr>
        <w:t xml:space="preserve">notamment le </w:t>
      </w:r>
      <w:hyperlink r:id="rId24">
        <w:r w:rsidRPr="17B7465E">
          <w:rPr>
            <w:rStyle w:val="Lienhypertexte"/>
            <w:lang w:val="fr-FR"/>
          </w:rPr>
          <w:t>Tableau des paramètres fiscaux communiqué par Rio Tinto aux investisseurs en décembre 2023</w:t>
        </w:r>
      </w:hyperlink>
      <w:r w:rsidR="7D82F1F3" w:rsidRPr="17B7465E">
        <w:rPr>
          <w:lang w:val="fr-FR"/>
        </w:rPr>
        <w:t xml:space="preserve">. </w:t>
      </w:r>
      <w:r w:rsidRPr="17B7465E">
        <w:rPr>
          <w:lang w:val="fr-FR"/>
        </w:rPr>
        <w:t>Rio Tinto a également fourni ses dernières estimations de coûts d'investissement et d'exploitation, qui peuvent être utilisées en l'absence de modèles financiers détaillés.</w:t>
      </w:r>
    </w:p>
    <w:p w14:paraId="19B96CC0" w14:textId="49786EC9" w:rsidR="00CC15AA" w:rsidRPr="00DC6E23" w:rsidRDefault="0AEAF8EA" w:rsidP="00CC15AA">
      <w:pPr>
        <w:spacing w:line="259" w:lineRule="auto"/>
        <w:jc w:val="both"/>
        <w:rPr>
          <w:lang w:val="fr-FR"/>
        </w:rPr>
      </w:pPr>
      <w:r w:rsidRPr="17B7465E">
        <w:rPr>
          <w:lang w:val="fr-FR"/>
        </w:rPr>
        <w:t xml:space="preserve">Outre les paramètres fiscaux et les hypothèses de coûts, les résultats dépendront des hypothèses relatives au prix du minerai de </w:t>
      </w:r>
      <w:proofErr w:type="spellStart"/>
      <w:proofErr w:type="gramStart"/>
      <w:r w:rsidRPr="17B7465E">
        <w:rPr>
          <w:lang w:val="fr-FR"/>
        </w:rPr>
        <w:t>fer.</w:t>
      </w:r>
      <w:r w:rsidR="59CA48F7" w:rsidRPr="00DC6E23">
        <w:rPr>
          <w:lang w:val="fr-FR"/>
        </w:rPr>
        <w:t>D’après</w:t>
      </w:r>
      <w:proofErr w:type="spellEnd"/>
      <w:proofErr w:type="gramEnd"/>
      <w:r w:rsidR="59CA48F7" w:rsidRPr="00DC6E23">
        <w:rPr>
          <w:lang w:val="fr-FR"/>
        </w:rPr>
        <w:t xml:space="preserve"> les sources fournies, voici les principales dispositions des contrats du projet </w:t>
      </w:r>
      <w:proofErr w:type="spellStart"/>
      <w:r w:rsidR="59CA48F7" w:rsidRPr="00DC6E23">
        <w:rPr>
          <w:lang w:val="fr-FR"/>
        </w:rPr>
        <w:t>Simandou</w:t>
      </w:r>
      <w:proofErr w:type="spellEnd"/>
      <w:r w:rsidR="59CA48F7" w:rsidRPr="00DC6E23">
        <w:rPr>
          <w:lang w:val="fr-FR"/>
        </w:rPr>
        <w:t>, les paramètres utilisés pour la modélisation financière et les recettes futures attendues de l’État :</w:t>
      </w:r>
    </w:p>
    <w:p w14:paraId="798DB4B3" w14:textId="77777777" w:rsidR="00CC15AA" w:rsidRPr="00DC6E23" w:rsidRDefault="44DE42EE" w:rsidP="00CC15AA">
      <w:pPr>
        <w:spacing w:line="259" w:lineRule="auto"/>
        <w:jc w:val="both"/>
        <w:rPr>
          <w:color w:val="0070C0"/>
          <w:lang w:val="fr-FR"/>
        </w:rPr>
      </w:pPr>
      <w:r w:rsidRPr="00DC6E23">
        <w:rPr>
          <w:b/>
          <w:bCs/>
          <w:color w:val="0070C0"/>
          <w:lang w:val="fr-FR"/>
        </w:rPr>
        <w:t xml:space="preserve">Principales dispositions des contrats du projet </w:t>
      </w:r>
      <w:proofErr w:type="spellStart"/>
      <w:r w:rsidRPr="00DC6E23">
        <w:rPr>
          <w:b/>
          <w:bCs/>
          <w:color w:val="0070C0"/>
          <w:lang w:val="fr-FR"/>
        </w:rPr>
        <w:t>Simandou</w:t>
      </w:r>
      <w:proofErr w:type="spellEnd"/>
    </w:p>
    <w:p w14:paraId="4C5A24A6" w14:textId="22D37894" w:rsidR="00CC15AA" w:rsidRPr="00DC6E23" w:rsidRDefault="59CA48F7" w:rsidP="00CC15AA">
      <w:pPr>
        <w:spacing w:line="259" w:lineRule="auto"/>
        <w:jc w:val="both"/>
        <w:rPr>
          <w:lang w:val="fr-FR"/>
        </w:rPr>
      </w:pPr>
      <w:r w:rsidRPr="00DC6E23">
        <w:rPr>
          <w:lang w:val="fr-FR"/>
        </w:rPr>
        <w:t xml:space="preserve">Le projet </w:t>
      </w:r>
      <w:proofErr w:type="spellStart"/>
      <w:r w:rsidRPr="00DC6E23">
        <w:rPr>
          <w:lang w:val="fr-FR"/>
        </w:rPr>
        <w:t>Simandou</w:t>
      </w:r>
      <w:proofErr w:type="spellEnd"/>
      <w:r w:rsidRPr="00DC6E23">
        <w:rPr>
          <w:lang w:val="fr-FR"/>
        </w:rPr>
        <w:t xml:space="preserve"> implique plusieurs entités, dont SIMFER SA (mine Rio Tinto </w:t>
      </w:r>
      <w:proofErr w:type="spellStart"/>
      <w:r w:rsidRPr="00DC6E23">
        <w:rPr>
          <w:lang w:val="fr-FR"/>
        </w:rPr>
        <w:t>Simfer</w:t>
      </w:r>
      <w:proofErr w:type="spellEnd"/>
      <w:r w:rsidRPr="00DC6E23">
        <w:rPr>
          <w:lang w:val="fr-FR"/>
        </w:rPr>
        <w:t xml:space="preserve">), le Consortium </w:t>
      </w:r>
      <w:proofErr w:type="spellStart"/>
      <w:r w:rsidRPr="00DC6E23">
        <w:rPr>
          <w:lang w:val="fr-FR"/>
        </w:rPr>
        <w:t>Winning</w:t>
      </w:r>
      <w:proofErr w:type="spellEnd"/>
      <w:r w:rsidRPr="00DC6E23">
        <w:rPr>
          <w:lang w:val="fr-FR"/>
        </w:rPr>
        <w:t xml:space="preserve"> </w:t>
      </w:r>
      <w:proofErr w:type="spellStart"/>
      <w:r w:rsidRPr="00DC6E23">
        <w:rPr>
          <w:lang w:val="fr-FR"/>
        </w:rPr>
        <w:t>Simandou</w:t>
      </w:r>
      <w:proofErr w:type="spellEnd"/>
      <w:r w:rsidRPr="00DC6E23">
        <w:rPr>
          <w:lang w:val="fr-FR"/>
        </w:rPr>
        <w:t xml:space="preserve"> (mine WCS) et</w:t>
      </w:r>
      <w:r w:rsidR="640C51DC" w:rsidRPr="00DC6E23">
        <w:rPr>
          <w:lang w:val="fr-FR"/>
        </w:rPr>
        <w:t xml:space="preserve"> </w:t>
      </w:r>
      <w:r w:rsidRPr="00DC6E23">
        <w:rPr>
          <w:lang w:val="fr-FR"/>
        </w:rPr>
        <w:t xml:space="preserve">la Compagnie du </w:t>
      </w:r>
      <w:proofErr w:type="spellStart"/>
      <w:r w:rsidRPr="00DC6E23">
        <w:rPr>
          <w:lang w:val="fr-FR"/>
        </w:rPr>
        <w:t>TransGuinéen</w:t>
      </w:r>
      <w:proofErr w:type="spellEnd"/>
      <w:r w:rsidRPr="00DC6E23">
        <w:rPr>
          <w:lang w:val="fr-FR"/>
        </w:rPr>
        <w:t xml:space="preserve"> (CTG). Les conditions juridiques, fiscales, administratives, financières, douanières et sociales du projet sont définies dans plusieurs accords appelés conventions.</w:t>
      </w:r>
    </w:p>
    <w:p w14:paraId="1D0096A5" w14:textId="77777777" w:rsidR="002C78A9" w:rsidRPr="00DC6E23" w:rsidRDefault="002C78A9" w:rsidP="002C78A9">
      <w:pPr>
        <w:rPr>
          <w:lang w:val="fr-FR"/>
        </w:rPr>
      </w:pPr>
      <w:r w:rsidRPr="00DC6E23">
        <w:rPr>
          <w:lang w:val="fr-FR"/>
        </w:rPr>
        <w:lastRenderedPageBreak/>
        <w:t xml:space="preserve">Le projet </w:t>
      </w:r>
      <w:proofErr w:type="spellStart"/>
      <w:r w:rsidRPr="00DC6E23">
        <w:rPr>
          <w:lang w:val="fr-FR"/>
        </w:rPr>
        <w:t>Simandou</w:t>
      </w:r>
      <w:proofErr w:type="spellEnd"/>
      <w:r w:rsidRPr="00DC6E23">
        <w:rPr>
          <w:lang w:val="fr-FR"/>
        </w:rPr>
        <w:t xml:space="preserve"> sera développé sur quatre blocs : les blocs 1 et 2 sous l'égide du consortium gagnant </w:t>
      </w:r>
      <w:proofErr w:type="spellStart"/>
      <w:r w:rsidRPr="00DC6E23">
        <w:rPr>
          <w:lang w:val="fr-FR"/>
        </w:rPr>
        <w:t>Simandou</w:t>
      </w:r>
      <w:proofErr w:type="spellEnd"/>
      <w:r w:rsidRPr="00DC6E23">
        <w:rPr>
          <w:lang w:val="fr-FR"/>
        </w:rPr>
        <w:t xml:space="preserve">, et les blocs 3 et 4 seront exploités par </w:t>
      </w:r>
      <w:proofErr w:type="spellStart"/>
      <w:r w:rsidRPr="00DC6E23">
        <w:rPr>
          <w:lang w:val="fr-FR"/>
        </w:rPr>
        <w:t>Simfer</w:t>
      </w:r>
      <w:proofErr w:type="spellEnd"/>
      <w:r w:rsidRPr="00DC6E23">
        <w:rPr>
          <w:lang w:val="fr-FR"/>
        </w:rPr>
        <w:t xml:space="preserve"> SA (Rio Tinto et ses partenaires).</w:t>
      </w:r>
    </w:p>
    <w:p w14:paraId="3A9FE712" w14:textId="77777777" w:rsidR="002C78A9" w:rsidRDefault="002C78A9" w:rsidP="002C78A9">
      <w:pPr>
        <w:rPr>
          <w:lang w:val="nb-NO"/>
        </w:rPr>
      </w:pPr>
      <w:r>
        <w:rPr>
          <w:noProof/>
          <w:lang w:val="nb-NO"/>
        </w:rPr>
        <w:drawing>
          <wp:inline distT="0" distB="0" distL="0" distR="0" wp14:anchorId="208D2E6B" wp14:editId="633A714C">
            <wp:extent cx="5760720" cy="2264410"/>
            <wp:effectExtent l="0" t="0" r="0" b="2540"/>
            <wp:docPr id="1393584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24186" name="Picture 2014024186"/>
                    <pic:cNvPicPr/>
                  </pic:nvPicPr>
                  <pic:blipFill>
                    <a:blip r:embed="rId25"/>
                    <a:stretch>
                      <a:fillRect/>
                    </a:stretch>
                  </pic:blipFill>
                  <pic:spPr>
                    <a:xfrm>
                      <a:off x="0" y="0"/>
                      <a:ext cx="5760720" cy="2264410"/>
                    </a:xfrm>
                    <a:prstGeom prst="rect">
                      <a:avLst/>
                    </a:prstGeom>
                  </pic:spPr>
                </pic:pic>
              </a:graphicData>
            </a:graphic>
          </wp:inline>
        </w:drawing>
      </w:r>
    </w:p>
    <w:p w14:paraId="2370810C" w14:textId="745B37BC" w:rsidR="002C78A9" w:rsidRDefault="7609135D" w:rsidP="17B7465E">
      <w:pPr>
        <w:jc w:val="center"/>
        <w:rPr>
          <w:lang w:val="fr-FR"/>
        </w:rPr>
      </w:pPr>
      <w:r w:rsidRPr="17B7465E">
        <w:rPr>
          <w:lang w:val="fr-FR"/>
        </w:rPr>
        <w:t>Source :</w:t>
      </w:r>
      <w:r w:rsidR="2EDECC52" w:rsidRPr="17B7465E">
        <w:rPr>
          <w:lang w:val="fr-FR"/>
        </w:rPr>
        <w:t xml:space="preserve"> </w:t>
      </w:r>
      <w:hyperlink r:id="rId26">
        <w:r w:rsidR="2EDECC52" w:rsidRPr="17B7465E">
          <w:rPr>
            <w:rStyle w:val="Lienhypertexte"/>
            <w:lang w:val="fr-FR"/>
          </w:rPr>
          <w:t>Séminaire des investisseurs de Rio Tinto, décembre 2023</w:t>
        </w:r>
      </w:hyperlink>
    </w:p>
    <w:p w14:paraId="2E13653A" w14:textId="1C643ECA" w:rsidR="002C78A9" w:rsidRPr="00DC6E23" w:rsidRDefault="626FFFA7" w:rsidP="14AD5C78">
      <w:pPr>
        <w:rPr>
          <w:lang w:val="fr-FR"/>
        </w:rPr>
      </w:pPr>
      <w:r w:rsidRPr="17B7465E">
        <w:rPr>
          <w:lang w:val="fr-FR"/>
        </w:rPr>
        <w:t>L</w:t>
      </w:r>
      <w:r w:rsidR="2E5CCBF7" w:rsidRPr="17B7465E">
        <w:rPr>
          <w:lang w:val="fr-FR"/>
        </w:rPr>
        <w:t>’</w:t>
      </w:r>
      <w:hyperlink r:id="rId27">
        <w:r w:rsidRPr="17B7465E">
          <w:rPr>
            <w:rStyle w:val="Lienhypertexte"/>
            <w:lang w:val="fr-FR"/>
          </w:rPr>
          <w:t>Accord de base modifié et consolidé (CBAC)</w:t>
        </w:r>
      </w:hyperlink>
      <w:r w:rsidR="24935000" w:rsidRPr="17B7465E">
        <w:rPr>
          <w:lang w:val="fr-FR"/>
        </w:rPr>
        <w:t xml:space="preserve"> </w:t>
      </w:r>
      <w:r w:rsidR="7C7F1516" w:rsidRPr="17B7465E">
        <w:rPr>
          <w:lang w:val="fr-FR"/>
        </w:rPr>
        <w:t>a</w:t>
      </w:r>
      <w:r w:rsidRPr="17B7465E">
        <w:rPr>
          <w:lang w:val="fr-FR"/>
        </w:rPr>
        <w:t xml:space="preserve"> </w:t>
      </w:r>
      <w:r w:rsidR="42DF78BA" w:rsidRPr="17B7465E">
        <w:rPr>
          <w:lang w:val="fr-FR"/>
        </w:rPr>
        <w:t xml:space="preserve">été </w:t>
      </w:r>
      <w:r w:rsidRPr="17B7465E">
        <w:rPr>
          <w:lang w:val="fr-FR"/>
        </w:rPr>
        <w:t xml:space="preserve">l'accord minier entre </w:t>
      </w:r>
      <w:proofErr w:type="spellStart"/>
      <w:r w:rsidRPr="17B7465E">
        <w:rPr>
          <w:lang w:val="fr-FR"/>
        </w:rPr>
        <w:t>Simfer</w:t>
      </w:r>
      <w:proofErr w:type="spellEnd"/>
      <w:r w:rsidRPr="17B7465E">
        <w:rPr>
          <w:lang w:val="fr-FR"/>
        </w:rPr>
        <w:t xml:space="preserve"> SA, Rio Tinto Mining &amp; Exploration Ltd et le gouvernement de Guinée, qui accompagne la concession d'exploration et d'exploitation du minerai de fer accordée par la République de Guinée à </w:t>
      </w:r>
      <w:proofErr w:type="spellStart"/>
      <w:r w:rsidRPr="17B7465E">
        <w:rPr>
          <w:lang w:val="fr-FR"/>
        </w:rPr>
        <w:t>Simfer</w:t>
      </w:r>
      <w:proofErr w:type="spellEnd"/>
      <w:r w:rsidRPr="17B7465E">
        <w:rPr>
          <w:lang w:val="fr-FR"/>
        </w:rPr>
        <w:t xml:space="preserve"> SA et régit le projet pour les blocs 3 et 4.  </w:t>
      </w:r>
    </w:p>
    <w:p w14:paraId="0D2C84E4" w14:textId="3DD12026" w:rsidR="002C78A9" w:rsidRDefault="3C4B7BEB" w:rsidP="17B7465E">
      <w:pPr>
        <w:rPr>
          <w:lang w:val="fr-FR"/>
        </w:rPr>
      </w:pPr>
      <w:r w:rsidRPr="17B7465E">
        <w:rPr>
          <w:lang w:val="fr-FR"/>
        </w:rPr>
        <w:t xml:space="preserve">Concernant le projet mené par le Consortium </w:t>
      </w:r>
      <w:proofErr w:type="spellStart"/>
      <w:r w:rsidRPr="17B7465E">
        <w:rPr>
          <w:lang w:val="fr-FR"/>
        </w:rPr>
        <w:t>Winning</w:t>
      </w:r>
      <w:proofErr w:type="spellEnd"/>
      <w:r w:rsidRPr="17B7465E">
        <w:rPr>
          <w:lang w:val="fr-FR"/>
        </w:rPr>
        <w:t xml:space="preserve"> </w:t>
      </w:r>
      <w:proofErr w:type="spellStart"/>
      <w:r w:rsidRPr="17B7465E">
        <w:rPr>
          <w:lang w:val="fr-FR"/>
        </w:rPr>
        <w:t>Simandou</w:t>
      </w:r>
      <w:proofErr w:type="spellEnd"/>
      <w:r w:rsidRPr="17B7465E">
        <w:rPr>
          <w:lang w:val="fr-FR"/>
        </w:rPr>
        <w:t xml:space="preserve"> et ses partenaires, il repose sur plusieurs accords et décrets clés, établissant le cadre de son développement et de son fonctionnement :</w:t>
      </w:r>
    </w:p>
    <w:p w14:paraId="2D44AD55" w14:textId="643049D8" w:rsidR="002C78A9" w:rsidRDefault="002C78A9" w:rsidP="17B7465E">
      <w:pPr>
        <w:pStyle w:val="Paragraphedeliste"/>
        <w:numPr>
          <w:ilvl w:val="0"/>
          <w:numId w:val="8"/>
        </w:numPr>
        <w:rPr>
          <w:lang w:val="fr-FR"/>
        </w:rPr>
      </w:pPr>
      <w:hyperlink r:id="rId28" w:history="1">
        <w:hyperlink r:id="rId29" w:anchor="/pdf" w:history="1">
          <w:r w:rsidR="3C4B7BEB" w:rsidRPr="17B7465E">
            <w:rPr>
              <w:rStyle w:val="Lienhypertexte"/>
              <w:b/>
              <w:bCs/>
              <w:lang w:val="fr-FR"/>
            </w:rPr>
            <w:t>Convention de Base</w:t>
          </w:r>
        </w:hyperlink>
      </w:hyperlink>
      <w:r w:rsidR="09DD5B96" w:rsidRPr="17B7465E">
        <w:rPr>
          <w:lang w:val="fr-FR"/>
        </w:rPr>
        <w:t xml:space="preserve"> </w:t>
      </w:r>
      <w:proofErr w:type="gramStart"/>
      <w:r w:rsidR="09DD5B96" w:rsidRPr="17B7465E">
        <w:rPr>
          <w:lang w:val="fr-FR"/>
        </w:rPr>
        <w:t>est</w:t>
      </w:r>
      <w:proofErr w:type="gramEnd"/>
      <w:r w:rsidR="09DD5B96" w:rsidRPr="17B7465E">
        <w:rPr>
          <w:lang w:val="fr-FR"/>
        </w:rPr>
        <w:t xml:space="preserve"> un </w:t>
      </w:r>
      <w:r w:rsidR="4067A41A" w:rsidRPr="17B7465E">
        <w:rPr>
          <w:lang w:val="fr-FR"/>
        </w:rPr>
        <w:t>a</w:t>
      </w:r>
      <w:r w:rsidR="3C4B7BEB" w:rsidRPr="17B7465E">
        <w:rPr>
          <w:lang w:val="fr-FR"/>
        </w:rPr>
        <w:t>ccord</w:t>
      </w:r>
      <w:r w:rsidR="7232F107" w:rsidRPr="17B7465E">
        <w:rPr>
          <w:lang w:val="fr-FR"/>
        </w:rPr>
        <w:t xml:space="preserve"> qui a été</w:t>
      </w:r>
      <w:r w:rsidR="3C4B7BEB" w:rsidRPr="17B7465E">
        <w:rPr>
          <w:lang w:val="fr-FR"/>
        </w:rPr>
        <w:t xml:space="preserve"> signé le 9 juin 2020 entre la République de Guinée et le Consortium </w:t>
      </w:r>
      <w:proofErr w:type="spellStart"/>
      <w:r w:rsidR="3C4B7BEB" w:rsidRPr="17B7465E">
        <w:rPr>
          <w:lang w:val="fr-FR"/>
        </w:rPr>
        <w:t>Winning</w:t>
      </w:r>
      <w:proofErr w:type="spellEnd"/>
      <w:r w:rsidR="3C4B7BEB" w:rsidRPr="17B7465E">
        <w:rPr>
          <w:lang w:val="fr-FR"/>
        </w:rPr>
        <w:t xml:space="preserve"> </w:t>
      </w:r>
      <w:proofErr w:type="spellStart"/>
      <w:r w:rsidR="3C4B7BEB" w:rsidRPr="17B7465E">
        <w:rPr>
          <w:lang w:val="fr-FR"/>
        </w:rPr>
        <w:t>Simandou</w:t>
      </w:r>
      <w:proofErr w:type="spellEnd"/>
      <w:r w:rsidR="3C4B7BEB" w:rsidRPr="17B7465E">
        <w:rPr>
          <w:lang w:val="fr-FR"/>
        </w:rPr>
        <w:t xml:space="preserve"> SA pour l’exploitation du minerai de fer des blocs I et II de </w:t>
      </w:r>
      <w:proofErr w:type="spellStart"/>
      <w:r w:rsidR="3C4B7BEB" w:rsidRPr="17B7465E">
        <w:rPr>
          <w:lang w:val="fr-FR"/>
        </w:rPr>
        <w:t>Simandou</w:t>
      </w:r>
      <w:proofErr w:type="spellEnd"/>
      <w:r w:rsidR="3C4B7BEB" w:rsidRPr="17B7465E">
        <w:rPr>
          <w:lang w:val="fr-FR"/>
        </w:rPr>
        <w:t xml:space="preserve"> (4822-winning-consortium-simandou-sau-exploitation-license-2020.pdf, p. 1). Cet accord définit les conditions juridiques, fiscales, administratives, financières, douanières et sociales du projet (4822-winning-consortium-simandou-sau-exploitation-license-2020.pdf, p. 19). La concession minière pour les blocs 1 et 2 est accordée pour une durée de vingt-cinq (25) ans, renouvelable une fois pour une période de vingt-cinq (25) ans (4822-winning-consortium-simandou-sau-exploitation-license-2020.pdf, p. 21).</w:t>
      </w:r>
    </w:p>
    <w:p w14:paraId="6E1183DD" w14:textId="77777777" w:rsidR="002C78A9" w:rsidRPr="00DC6E23" w:rsidRDefault="002C78A9" w:rsidP="17B7465E">
      <w:pPr>
        <w:pStyle w:val="Paragraphedeliste"/>
        <w:numPr>
          <w:ilvl w:val="0"/>
          <w:numId w:val="8"/>
        </w:numPr>
        <w:rPr>
          <w:lang w:val="fr-FR"/>
        </w:rPr>
      </w:pPr>
      <w:hyperlink r:id="rId30" w:anchor="/pdf" w:history="1">
        <w:hyperlink r:id="rId31" w:anchor="/pdf" w:history="1">
          <w:r w:rsidR="3C4B7BEB" w:rsidRPr="00DC6E23">
            <w:rPr>
              <w:rStyle w:val="Lienhypertexte"/>
              <w:b/>
              <w:bCs/>
              <w:lang w:val="fr-FR"/>
            </w:rPr>
            <w:t>Accord sur l'infrastructure ferroviaire</w:t>
          </w:r>
        </w:hyperlink>
      </w:hyperlink>
      <w:r w:rsidR="3C4B7BEB" w:rsidRPr="00DC6E23">
        <w:rPr>
          <w:lang w:val="fr-FR"/>
        </w:rPr>
        <w:t xml:space="preserve">: Signé le 12 novembre 2020 entre la République de Guinée, </w:t>
      </w:r>
      <w:proofErr w:type="spellStart"/>
      <w:r w:rsidR="3C4B7BEB" w:rsidRPr="00DC6E23">
        <w:rPr>
          <w:lang w:val="fr-FR"/>
        </w:rPr>
        <w:t>Winning</w:t>
      </w:r>
      <w:proofErr w:type="spellEnd"/>
      <w:r w:rsidR="3C4B7BEB" w:rsidRPr="00DC6E23">
        <w:rPr>
          <w:lang w:val="fr-FR"/>
        </w:rPr>
        <w:t xml:space="preserve"> Consortium </w:t>
      </w:r>
      <w:proofErr w:type="spellStart"/>
      <w:r w:rsidR="3C4B7BEB" w:rsidRPr="00DC6E23">
        <w:rPr>
          <w:lang w:val="fr-FR"/>
        </w:rPr>
        <w:t>Simandou</w:t>
      </w:r>
      <w:proofErr w:type="spellEnd"/>
      <w:r w:rsidR="3C4B7BEB" w:rsidRPr="00DC6E23">
        <w:rPr>
          <w:lang w:val="fr-FR"/>
        </w:rPr>
        <w:t xml:space="preserve"> Railway SA et </w:t>
      </w:r>
      <w:proofErr w:type="spellStart"/>
      <w:r w:rsidR="3C4B7BEB" w:rsidRPr="00DC6E23">
        <w:rPr>
          <w:lang w:val="fr-FR"/>
        </w:rPr>
        <w:t>Winning</w:t>
      </w:r>
      <w:proofErr w:type="spellEnd"/>
      <w:r w:rsidR="3C4B7BEB" w:rsidRPr="00DC6E23">
        <w:rPr>
          <w:lang w:val="fr-FR"/>
        </w:rPr>
        <w:t xml:space="preserve"> Consortium </w:t>
      </w:r>
      <w:proofErr w:type="spellStart"/>
      <w:r w:rsidR="3C4B7BEB" w:rsidRPr="00DC6E23">
        <w:rPr>
          <w:lang w:val="fr-FR"/>
        </w:rPr>
        <w:t>Simandou</w:t>
      </w:r>
      <w:proofErr w:type="spellEnd"/>
      <w:r w:rsidR="3C4B7BEB" w:rsidRPr="00DC6E23">
        <w:rPr>
          <w:lang w:val="fr-FR"/>
        </w:rPr>
        <w:t xml:space="preserve"> SA, définissant les conditions de l'infrastructure ferroviaire liée à l'évacuation du minerai de fer des blocs 1 et 2 de </w:t>
      </w:r>
      <w:proofErr w:type="spellStart"/>
      <w:r w:rsidR="3C4B7BEB" w:rsidRPr="00DC6E23">
        <w:rPr>
          <w:lang w:val="fr-FR"/>
        </w:rPr>
        <w:t>Simandou</w:t>
      </w:r>
      <w:proofErr w:type="spellEnd"/>
      <w:r w:rsidR="3C4B7BEB" w:rsidRPr="00DC6E23">
        <w:rPr>
          <w:lang w:val="fr-FR"/>
        </w:rPr>
        <w:t>.</w:t>
      </w:r>
    </w:p>
    <w:p w14:paraId="391F40EE" w14:textId="60DA00FE" w:rsidR="002C78A9" w:rsidRDefault="002C78A9" w:rsidP="17B7465E">
      <w:pPr>
        <w:pStyle w:val="Paragraphedeliste"/>
        <w:numPr>
          <w:ilvl w:val="0"/>
          <w:numId w:val="8"/>
        </w:numPr>
        <w:rPr>
          <w:lang w:val="fr-FR"/>
        </w:rPr>
      </w:pPr>
      <w:hyperlink r:id="rId32" w:anchor="/pdf" w:history="1">
        <w:hyperlink r:id="rId33" w:anchor="/pdf" w:history="1">
          <w:r w:rsidR="3C4B7BEB" w:rsidRPr="17B7465E">
            <w:rPr>
              <w:rStyle w:val="Lienhypertexte"/>
              <w:b/>
              <w:bCs/>
              <w:lang w:val="fr-FR"/>
            </w:rPr>
            <w:t>Accord sur les infrastructures portuaires</w:t>
          </w:r>
        </w:hyperlink>
      </w:hyperlink>
      <w:r w:rsidR="3C4B7BEB" w:rsidRPr="17B7465E">
        <w:rPr>
          <w:lang w:val="fr-FR"/>
        </w:rPr>
        <w:t xml:space="preserve">: Signé le 12 novembre 2020 entre la République de Guinée, </w:t>
      </w:r>
      <w:proofErr w:type="spellStart"/>
      <w:r w:rsidR="3C4B7BEB" w:rsidRPr="17B7465E">
        <w:rPr>
          <w:lang w:val="fr-FR"/>
        </w:rPr>
        <w:t>Winning</w:t>
      </w:r>
      <w:proofErr w:type="spellEnd"/>
      <w:r w:rsidR="3C4B7BEB" w:rsidRPr="17B7465E">
        <w:rPr>
          <w:lang w:val="fr-FR"/>
        </w:rPr>
        <w:t xml:space="preserve"> Consortium </w:t>
      </w:r>
      <w:proofErr w:type="spellStart"/>
      <w:r w:rsidR="3C4B7BEB" w:rsidRPr="17B7465E">
        <w:rPr>
          <w:lang w:val="fr-FR"/>
        </w:rPr>
        <w:t>Simandou</w:t>
      </w:r>
      <w:proofErr w:type="spellEnd"/>
      <w:r w:rsidR="3C4B7BEB" w:rsidRPr="17B7465E">
        <w:rPr>
          <w:lang w:val="fr-FR"/>
        </w:rPr>
        <w:t xml:space="preserve"> Ports SA et </w:t>
      </w:r>
      <w:proofErr w:type="spellStart"/>
      <w:r w:rsidR="3C4B7BEB" w:rsidRPr="17B7465E">
        <w:rPr>
          <w:lang w:val="fr-FR"/>
        </w:rPr>
        <w:t>Winning</w:t>
      </w:r>
      <w:proofErr w:type="spellEnd"/>
      <w:r w:rsidR="3C4B7BEB" w:rsidRPr="17B7465E">
        <w:rPr>
          <w:lang w:val="fr-FR"/>
        </w:rPr>
        <w:t xml:space="preserve"> Consortium </w:t>
      </w:r>
      <w:proofErr w:type="spellStart"/>
      <w:r w:rsidR="3C4B7BEB" w:rsidRPr="17B7465E">
        <w:rPr>
          <w:lang w:val="fr-FR"/>
        </w:rPr>
        <w:t>Simandou</w:t>
      </w:r>
      <w:proofErr w:type="spellEnd"/>
      <w:r w:rsidR="3C4B7BEB" w:rsidRPr="17B7465E">
        <w:rPr>
          <w:lang w:val="fr-FR"/>
        </w:rPr>
        <w:t xml:space="preserve"> SA, détaillant les conditions relatives aux infrastructures portuaires pour l'évacuation du minerai de fer des blocs 1 et 2.</w:t>
      </w:r>
    </w:p>
    <w:p w14:paraId="2452F01C" w14:textId="01003C7F" w:rsidR="002C78A9" w:rsidRPr="00DC6E23" w:rsidRDefault="2C167848" w:rsidP="17B7465E">
      <w:pPr>
        <w:rPr>
          <w:lang w:val="fr-FR"/>
        </w:rPr>
      </w:pPr>
      <w:r w:rsidRPr="17B7465E">
        <w:rPr>
          <w:lang w:val="fr-FR"/>
        </w:rPr>
        <w:t>Les accords signés à partir de 2022 ont permis d</w:t>
      </w:r>
      <w:r w:rsidR="45181CCB" w:rsidRPr="17B7465E">
        <w:rPr>
          <w:lang w:val="fr-FR"/>
        </w:rPr>
        <w:t xml:space="preserve">e définir les conditions de co-développement des projets de </w:t>
      </w:r>
      <w:proofErr w:type="spellStart"/>
      <w:proofErr w:type="gramStart"/>
      <w:r w:rsidR="45181CCB" w:rsidRPr="17B7465E">
        <w:rPr>
          <w:lang w:val="fr-FR"/>
        </w:rPr>
        <w:t>Simandou</w:t>
      </w:r>
      <w:proofErr w:type="spellEnd"/>
      <w:r w:rsidR="5538DD79" w:rsidRPr="17B7465E">
        <w:rPr>
          <w:lang w:val="fr-FR"/>
        </w:rPr>
        <w:t>:</w:t>
      </w:r>
      <w:proofErr w:type="gramEnd"/>
      <w:r w:rsidR="45181CCB" w:rsidRPr="17B7465E">
        <w:rPr>
          <w:lang w:val="fr-FR"/>
        </w:rPr>
        <w:t xml:space="preserve"> </w:t>
      </w:r>
    </w:p>
    <w:p w14:paraId="7F0AC2A6" w14:textId="1A3A4439" w:rsidR="002C78A9" w:rsidRDefault="2EDECC52" w:rsidP="17B7465E">
      <w:pPr>
        <w:pStyle w:val="Paragraphedeliste"/>
        <w:numPr>
          <w:ilvl w:val="0"/>
          <w:numId w:val="7"/>
        </w:numPr>
        <w:rPr>
          <w:lang w:val="fr-FR"/>
        </w:rPr>
      </w:pPr>
      <w:r w:rsidRPr="17B7465E">
        <w:rPr>
          <w:lang w:val="fr-FR"/>
        </w:rPr>
        <w:t xml:space="preserve">L'accord-cadre du 25 mars 2022 - conclu entre la République de Guinée, </w:t>
      </w:r>
      <w:proofErr w:type="spellStart"/>
      <w:r w:rsidRPr="17B7465E">
        <w:rPr>
          <w:lang w:val="fr-FR"/>
        </w:rPr>
        <w:t>Simfer</w:t>
      </w:r>
      <w:proofErr w:type="spellEnd"/>
      <w:r w:rsidRPr="17B7465E">
        <w:rPr>
          <w:lang w:val="fr-FR"/>
        </w:rPr>
        <w:t xml:space="preserve"> SA, </w:t>
      </w:r>
      <w:proofErr w:type="spellStart"/>
      <w:r w:rsidRPr="17B7465E">
        <w:rPr>
          <w:lang w:val="fr-FR"/>
        </w:rPr>
        <w:t>Winning</w:t>
      </w:r>
      <w:proofErr w:type="spellEnd"/>
      <w:r w:rsidRPr="17B7465E">
        <w:rPr>
          <w:lang w:val="fr-FR"/>
        </w:rPr>
        <w:t xml:space="preserve"> Consortium </w:t>
      </w:r>
      <w:proofErr w:type="spellStart"/>
      <w:r w:rsidRPr="17B7465E">
        <w:rPr>
          <w:lang w:val="fr-FR"/>
        </w:rPr>
        <w:t>Simandou</w:t>
      </w:r>
      <w:proofErr w:type="spellEnd"/>
      <w:r w:rsidRPr="17B7465E">
        <w:rPr>
          <w:lang w:val="fr-FR"/>
        </w:rPr>
        <w:t xml:space="preserve"> Railway, </w:t>
      </w:r>
      <w:proofErr w:type="spellStart"/>
      <w:r w:rsidRPr="17B7465E">
        <w:rPr>
          <w:lang w:val="fr-FR"/>
        </w:rPr>
        <w:t>Winning</w:t>
      </w:r>
      <w:proofErr w:type="spellEnd"/>
      <w:r w:rsidRPr="17B7465E">
        <w:rPr>
          <w:lang w:val="fr-FR"/>
        </w:rPr>
        <w:t xml:space="preserve"> Consortium </w:t>
      </w:r>
      <w:proofErr w:type="spellStart"/>
      <w:r w:rsidRPr="17B7465E">
        <w:rPr>
          <w:lang w:val="fr-FR"/>
        </w:rPr>
        <w:t>Simandou</w:t>
      </w:r>
      <w:proofErr w:type="spellEnd"/>
      <w:r w:rsidRPr="17B7465E">
        <w:rPr>
          <w:lang w:val="fr-FR"/>
        </w:rPr>
        <w:t xml:space="preserve"> Ports et </w:t>
      </w:r>
      <w:proofErr w:type="spellStart"/>
      <w:r w:rsidRPr="17B7465E">
        <w:rPr>
          <w:lang w:val="fr-FR"/>
        </w:rPr>
        <w:t>Winning</w:t>
      </w:r>
      <w:proofErr w:type="spellEnd"/>
      <w:r w:rsidRPr="17B7465E">
        <w:rPr>
          <w:lang w:val="fr-FR"/>
        </w:rPr>
        <w:t xml:space="preserve"> </w:t>
      </w:r>
      <w:r w:rsidRPr="17B7465E">
        <w:rPr>
          <w:lang w:val="fr-FR"/>
        </w:rPr>
        <w:lastRenderedPageBreak/>
        <w:t xml:space="preserve">Consortium </w:t>
      </w:r>
      <w:proofErr w:type="spellStart"/>
      <w:r w:rsidRPr="17B7465E">
        <w:rPr>
          <w:lang w:val="fr-FR"/>
        </w:rPr>
        <w:t>Simandou</w:t>
      </w:r>
      <w:proofErr w:type="spellEnd"/>
      <w:r w:rsidRPr="17B7465E">
        <w:rPr>
          <w:lang w:val="fr-FR"/>
        </w:rPr>
        <w:t xml:space="preserve"> SAU pour le co-développement des infrastructures du projet </w:t>
      </w:r>
      <w:proofErr w:type="spellStart"/>
      <w:r w:rsidRPr="17B7465E">
        <w:rPr>
          <w:lang w:val="fr-FR"/>
        </w:rPr>
        <w:t>Simandou</w:t>
      </w:r>
      <w:proofErr w:type="spellEnd"/>
      <w:r w:rsidRPr="17B7465E">
        <w:rPr>
          <w:lang w:val="fr-FR"/>
        </w:rPr>
        <w:t>.</w:t>
      </w:r>
    </w:p>
    <w:p w14:paraId="5ADA527D" w14:textId="1FC6CA90" w:rsidR="002C78A9" w:rsidRPr="00DC6E23" w:rsidRDefault="2EDECC52" w:rsidP="002C78A9">
      <w:pPr>
        <w:pStyle w:val="Paragraphedeliste"/>
        <w:numPr>
          <w:ilvl w:val="0"/>
          <w:numId w:val="7"/>
        </w:numPr>
        <w:rPr>
          <w:lang w:val="fr-FR"/>
        </w:rPr>
      </w:pPr>
      <w:r w:rsidRPr="00DC6E23">
        <w:rPr>
          <w:lang w:val="fr-FR"/>
        </w:rPr>
        <w:t xml:space="preserve">L’Accord de co-développement du 10 août </w:t>
      </w:r>
      <w:r w:rsidR="16FCD966" w:rsidRPr="00DC6E23">
        <w:rPr>
          <w:lang w:val="fr-FR"/>
        </w:rPr>
        <w:t>2023 définit</w:t>
      </w:r>
      <w:r w:rsidRPr="00DC6E23">
        <w:rPr>
          <w:lang w:val="fr-FR"/>
        </w:rPr>
        <w:t xml:space="preserve"> les conditions relatives au co-développement de l’Infrastructure de </w:t>
      </w:r>
      <w:proofErr w:type="spellStart"/>
      <w:r w:rsidRPr="00DC6E23">
        <w:rPr>
          <w:lang w:val="fr-FR"/>
        </w:rPr>
        <w:t>Simandou</w:t>
      </w:r>
      <w:proofErr w:type="spellEnd"/>
      <w:r w:rsidRPr="00DC6E23">
        <w:rPr>
          <w:lang w:val="fr-FR"/>
        </w:rPr>
        <w:t xml:space="preserve"> et, en particulier, les questions relatives aux droits et obligations pendant la phase de construction, à l’utilisation de l’infrastructure </w:t>
      </w:r>
      <w:proofErr w:type="spellStart"/>
      <w:r w:rsidRPr="00DC6E23">
        <w:rPr>
          <w:lang w:val="fr-FR"/>
        </w:rPr>
        <w:t>co-développée</w:t>
      </w:r>
      <w:proofErr w:type="spellEnd"/>
      <w:r w:rsidRPr="00DC6E23">
        <w:rPr>
          <w:lang w:val="fr-FR"/>
        </w:rPr>
        <w:t xml:space="preserve"> et, d’une manière générale, à la mise en œuvre d’une approche coordonnée de la gestion des impacts environnementaux et sociaux de la construction et de l’exploitation de l’Infrastructure de </w:t>
      </w:r>
      <w:proofErr w:type="spellStart"/>
      <w:r w:rsidRPr="00DC6E23">
        <w:rPr>
          <w:lang w:val="fr-FR"/>
        </w:rPr>
        <w:t>Simandou</w:t>
      </w:r>
      <w:proofErr w:type="spellEnd"/>
      <w:r w:rsidRPr="00DC6E23">
        <w:rPr>
          <w:lang w:val="fr-FR"/>
        </w:rPr>
        <w:t>. Cet Accord comprend également une annexe fiscale qui définit les taxes applicables.</w:t>
      </w:r>
      <w:r w:rsidR="60FD645B" w:rsidRPr="00DC6E23">
        <w:rPr>
          <w:lang w:val="fr-FR"/>
        </w:rPr>
        <w:t xml:space="preserve"> </w:t>
      </w:r>
      <w:hyperlink r:id="rId34" w:history="1">
        <w:r w:rsidRPr="00DC6E23">
          <w:rPr>
            <w:rStyle w:val="Lienhypertexte"/>
            <w:lang w:val="fr-FR"/>
          </w:rPr>
          <w:t>La loi autorisant la ratification de l'accord a été adoptée</w:t>
        </w:r>
      </w:hyperlink>
      <w:r w:rsidR="0338B909" w:rsidRPr="00DC6E23">
        <w:rPr>
          <w:lang w:val="fr-FR"/>
        </w:rPr>
        <w:t xml:space="preserve"> </w:t>
      </w:r>
      <w:r w:rsidRPr="00DC6E23">
        <w:rPr>
          <w:lang w:val="fr-FR"/>
        </w:rPr>
        <w:t>par le Conseil national de transition.</w:t>
      </w:r>
    </w:p>
    <w:p w14:paraId="049B6CBD" w14:textId="16DE6A6B" w:rsidR="002C78A9" w:rsidRPr="00961F3A" w:rsidRDefault="2EDECC52" w:rsidP="17B7465E">
      <w:pPr>
        <w:pStyle w:val="Paragraphedeliste"/>
        <w:numPr>
          <w:ilvl w:val="0"/>
          <w:numId w:val="7"/>
        </w:numPr>
        <w:rPr>
          <w:lang w:val="fr-FR"/>
        </w:rPr>
      </w:pPr>
      <w:r w:rsidRPr="17B7465E">
        <w:rPr>
          <w:lang w:val="fr-FR"/>
        </w:rPr>
        <w:t>L</w:t>
      </w:r>
      <w:r w:rsidR="3105ABB4" w:rsidRPr="17B7465E">
        <w:rPr>
          <w:lang w:val="fr-FR"/>
        </w:rPr>
        <w:t>’</w:t>
      </w:r>
      <w:hyperlink r:id="rId35" w:history="1">
        <w:r w:rsidRPr="17B7465E">
          <w:rPr>
            <w:rStyle w:val="Lienhypertexte"/>
            <w:lang w:val="fr-FR"/>
          </w:rPr>
          <w:t>Accord d'ajustement bipartite au CBAC</w:t>
        </w:r>
      </w:hyperlink>
      <w:r w:rsidRPr="17B7465E">
        <w:rPr>
          <w:lang w:val="fr-FR"/>
        </w:rPr>
        <w:t xml:space="preserve">- Il s'agit d'un accord conclu pour préciser les ajustements nécessaires </w:t>
      </w:r>
      <w:r w:rsidR="0516C5EB" w:rsidRPr="17B7465E">
        <w:rPr>
          <w:lang w:val="fr-FR"/>
        </w:rPr>
        <w:t xml:space="preserve">à la Convention de Rio Tinto </w:t>
      </w:r>
      <w:proofErr w:type="spellStart"/>
      <w:r w:rsidR="0516C5EB" w:rsidRPr="17B7465E">
        <w:rPr>
          <w:lang w:val="fr-FR"/>
        </w:rPr>
        <w:t>Simfer</w:t>
      </w:r>
      <w:proofErr w:type="spellEnd"/>
      <w:r w:rsidRPr="17B7465E">
        <w:rPr>
          <w:lang w:val="fr-FR"/>
        </w:rPr>
        <w:t xml:space="preserve"> afin de reconnaître et de prendre en compte les implications du projet d'infrastructure </w:t>
      </w:r>
      <w:proofErr w:type="spellStart"/>
      <w:r w:rsidRPr="17B7465E">
        <w:rPr>
          <w:lang w:val="fr-FR"/>
        </w:rPr>
        <w:t>co-développé</w:t>
      </w:r>
      <w:proofErr w:type="spellEnd"/>
      <w:r w:rsidRPr="17B7465E">
        <w:rPr>
          <w:lang w:val="fr-FR"/>
        </w:rPr>
        <w:t>.</w:t>
      </w:r>
    </w:p>
    <w:p w14:paraId="4F4BE3D5" w14:textId="1863DD55" w:rsidR="00865E18" w:rsidRPr="00CC15AA" w:rsidRDefault="00865E18" w:rsidP="17B7465E">
      <w:pPr>
        <w:spacing w:line="259" w:lineRule="auto"/>
        <w:rPr>
          <w:lang w:val="fr-FR"/>
        </w:rPr>
      </w:pPr>
    </w:p>
    <w:p w14:paraId="360D8084" w14:textId="4DE79512" w:rsidR="00CC15AA" w:rsidRPr="00DC6E23" w:rsidRDefault="44DE42EE" w:rsidP="00CC15AA">
      <w:pPr>
        <w:spacing w:line="259" w:lineRule="auto"/>
        <w:jc w:val="both"/>
        <w:rPr>
          <w:b/>
          <w:bCs/>
          <w:color w:val="0070C0"/>
          <w:lang w:val="fr-FR"/>
        </w:rPr>
      </w:pPr>
      <w:r w:rsidRPr="00DC6E23">
        <w:rPr>
          <w:b/>
          <w:bCs/>
          <w:color w:val="0070C0"/>
          <w:lang w:val="fr-FR"/>
        </w:rPr>
        <w:t>Paramètres utilisés pour la modélisation financière</w:t>
      </w:r>
    </w:p>
    <w:p w14:paraId="35B79DE9" w14:textId="44DDA456" w:rsidR="00CC15AA" w:rsidRPr="00DC6E23" w:rsidRDefault="59CA48F7" w:rsidP="00CC15AA">
      <w:pPr>
        <w:spacing w:line="259" w:lineRule="auto"/>
        <w:jc w:val="both"/>
        <w:rPr>
          <w:lang w:val="fr-FR"/>
        </w:rPr>
      </w:pPr>
      <w:r w:rsidRPr="00DC6E23">
        <w:rPr>
          <w:lang w:val="fr-FR"/>
        </w:rPr>
        <w:t>Le modèle FARI utilise diverses données</w:t>
      </w:r>
      <w:r w:rsidR="4758CFE0" w:rsidRPr="00DC6E23">
        <w:rPr>
          <w:lang w:val="fr-FR"/>
        </w:rPr>
        <w:t xml:space="preserve"> en </w:t>
      </w:r>
      <w:r w:rsidRPr="00DC6E23">
        <w:rPr>
          <w:lang w:val="fr-FR"/>
        </w:rPr>
        <w:t xml:space="preserve">entrée, notamment des données de projet, des paramètres économiques, fiscaux et financiers. Différents régimes fiscaux ont été modélisés pour </w:t>
      </w:r>
      <w:r w:rsidR="20F319F5" w:rsidRPr="00DC6E23">
        <w:rPr>
          <w:lang w:val="fr-FR"/>
        </w:rPr>
        <w:t xml:space="preserve">la Compagnie </w:t>
      </w:r>
      <w:r w:rsidRPr="00DC6E23">
        <w:rPr>
          <w:lang w:val="fr-FR"/>
        </w:rPr>
        <w:t xml:space="preserve">CTG (composantes ferroviaire et portuaire), la mine de </w:t>
      </w:r>
      <w:proofErr w:type="spellStart"/>
      <w:r w:rsidRPr="00DC6E23">
        <w:rPr>
          <w:lang w:val="fr-FR"/>
        </w:rPr>
        <w:t>Simfer</w:t>
      </w:r>
      <w:proofErr w:type="spellEnd"/>
      <w:r w:rsidRPr="00DC6E23">
        <w:rPr>
          <w:lang w:val="fr-FR"/>
        </w:rPr>
        <w:t xml:space="preserve"> et la mine de WCS.</w:t>
      </w:r>
    </w:p>
    <w:p w14:paraId="6031C936" w14:textId="1170BB95" w:rsidR="00CC15AA" w:rsidRPr="00DC6E23" w:rsidRDefault="00CC15AA" w:rsidP="00CC15AA">
      <w:pPr>
        <w:spacing w:line="259" w:lineRule="auto"/>
        <w:jc w:val="both"/>
        <w:rPr>
          <w:lang w:val="fr-FR"/>
        </w:rPr>
      </w:pPr>
      <w:r w:rsidRPr="00DC6E23">
        <w:rPr>
          <w:lang w:val="fr-FR"/>
        </w:rPr>
        <w:t>Les paramètres fiscaux spécifiques identifiés comprennent :</w:t>
      </w:r>
    </w:p>
    <w:p w14:paraId="71010716" w14:textId="52253B21" w:rsidR="00CC15AA" w:rsidRPr="00CC15AA" w:rsidRDefault="056E0E19" w:rsidP="17B7465E">
      <w:pPr>
        <w:numPr>
          <w:ilvl w:val="0"/>
          <w:numId w:val="5"/>
        </w:numPr>
        <w:spacing w:line="259" w:lineRule="auto"/>
        <w:jc w:val="both"/>
        <w:rPr>
          <w:lang w:val="fr-FR"/>
        </w:rPr>
      </w:pPr>
      <w:r w:rsidRPr="035BFF2E">
        <w:rPr>
          <w:b/>
          <w:bCs/>
          <w:lang w:val="fr-FR"/>
        </w:rPr>
        <w:t>Taxes minières</w:t>
      </w:r>
      <w:r w:rsidR="1286DE4A" w:rsidRPr="035BFF2E">
        <w:rPr>
          <w:b/>
          <w:bCs/>
          <w:lang w:val="fr-FR"/>
        </w:rPr>
        <w:t xml:space="preserve"> :</w:t>
      </w:r>
      <w:r w:rsidR="3595482B" w:rsidRPr="035BFF2E">
        <w:rPr>
          <w:b/>
          <w:bCs/>
          <w:lang w:val="fr-FR"/>
        </w:rPr>
        <w:t xml:space="preserve"> </w:t>
      </w:r>
      <w:r w:rsidR="4CAB7F95" w:rsidRPr="035BFF2E">
        <w:rPr>
          <w:lang w:val="fr-FR"/>
        </w:rPr>
        <w:t xml:space="preserve">Les taxes minières sont constituées des taxes à l’exportation (3% de la valeur pour les blocs 1&amp;2 WCS et 0% pour les blocs 3&amp;4 </w:t>
      </w:r>
      <w:proofErr w:type="spellStart"/>
      <w:r w:rsidR="4CAB7F95" w:rsidRPr="035BFF2E">
        <w:rPr>
          <w:lang w:val="fr-FR"/>
        </w:rPr>
        <w:t>Simfer</w:t>
      </w:r>
      <w:proofErr w:type="spellEnd"/>
      <w:r w:rsidR="4CAB7F95" w:rsidRPr="035BFF2E">
        <w:rPr>
          <w:lang w:val="fr-FR"/>
        </w:rPr>
        <w:t xml:space="preserve">) et des taxes à l’extraction (2% de la valeur pour les blocs 1&amp;2 WCS et 3,5% </w:t>
      </w:r>
      <w:r w:rsidR="4CAB7F95" w:rsidRPr="00DC6E23">
        <w:rPr>
          <w:lang w:val="fr-FR"/>
        </w:rPr>
        <w:t xml:space="preserve">pour les blocs 3&amp;4 </w:t>
      </w:r>
      <w:proofErr w:type="spellStart"/>
      <w:r w:rsidR="4CAB7F95" w:rsidRPr="00DC6E23">
        <w:rPr>
          <w:lang w:val="fr-FR"/>
        </w:rPr>
        <w:t>Simfer</w:t>
      </w:r>
      <w:proofErr w:type="spellEnd"/>
      <w:proofErr w:type="gramStart"/>
      <w:r w:rsidR="4CAB7F95" w:rsidRPr="00DC6E23">
        <w:rPr>
          <w:lang w:val="fr-FR"/>
        </w:rPr>
        <w:t>),</w:t>
      </w:r>
      <w:r w:rsidR="26548E11" w:rsidRPr="035BFF2E">
        <w:rPr>
          <w:lang w:val="fr-FR"/>
        </w:rPr>
        <w:t>.</w:t>
      </w:r>
      <w:proofErr w:type="gramEnd"/>
      <w:r w:rsidR="26548E11" w:rsidRPr="035BFF2E">
        <w:rPr>
          <w:lang w:val="fr-FR"/>
        </w:rPr>
        <w:t xml:space="preserve"> Une redevance de 0,50 $/t sur les tonnes </w:t>
      </w:r>
      <w:r w:rsidR="59AF79A1" w:rsidRPr="035BFF2E">
        <w:rPr>
          <w:lang w:val="fr-FR"/>
        </w:rPr>
        <w:t xml:space="preserve">humides </w:t>
      </w:r>
      <w:r w:rsidR="26548E11" w:rsidRPr="035BFF2E">
        <w:rPr>
          <w:lang w:val="fr-FR"/>
        </w:rPr>
        <w:t>expédiées est également prévue pour</w:t>
      </w:r>
      <w:r w:rsidR="3CD85DD9" w:rsidRPr="035BFF2E">
        <w:rPr>
          <w:lang w:val="fr-FR"/>
        </w:rPr>
        <w:t xml:space="preserve"> </w:t>
      </w:r>
      <w:r w:rsidR="35B2B30B" w:rsidRPr="035BFF2E">
        <w:rPr>
          <w:lang w:val="fr-FR"/>
        </w:rPr>
        <w:t xml:space="preserve">la </w:t>
      </w:r>
      <w:r w:rsidR="0E372CED" w:rsidRPr="035BFF2E">
        <w:rPr>
          <w:lang w:val="fr-FR"/>
        </w:rPr>
        <w:t>CTG ;</w:t>
      </w:r>
      <w:r w:rsidR="26548E11" w:rsidRPr="035BFF2E">
        <w:rPr>
          <w:lang w:val="fr-FR"/>
        </w:rPr>
        <w:t xml:space="preserve"> </w:t>
      </w:r>
      <w:r w:rsidR="445666C7" w:rsidRPr="035BFF2E">
        <w:rPr>
          <w:lang w:val="fr-FR"/>
        </w:rPr>
        <w:t xml:space="preserve">cette taxe </w:t>
      </w:r>
      <w:r w:rsidR="26548E11" w:rsidRPr="035BFF2E">
        <w:rPr>
          <w:lang w:val="fr-FR"/>
        </w:rPr>
        <w:t>pouvant être partiellement compensée par d'autres taxes.</w:t>
      </w:r>
    </w:p>
    <w:p w14:paraId="4F79DB77" w14:textId="237ED3B5" w:rsidR="00CC15AA" w:rsidRPr="00CC15AA" w:rsidRDefault="44DE42EE" w:rsidP="17B7465E">
      <w:pPr>
        <w:numPr>
          <w:ilvl w:val="0"/>
          <w:numId w:val="5"/>
        </w:numPr>
        <w:spacing w:line="259" w:lineRule="auto"/>
        <w:jc w:val="both"/>
        <w:rPr>
          <w:lang w:val="fr-FR"/>
        </w:rPr>
      </w:pPr>
      <w:r w:rsidRPr="17B7465E">
        <w:rPr>
          <w:b/>
          <w:bCs/>
          <w:lang w:val="fr-FR"/>
        </w:rPr>
        <w:t xml:space="preserve">Contribution au développement </w:t>
      </w:r>
      <w:r w:rsidR="5EADACF5" w:rsidRPr="17B7465E">
        <w:rPr>
          <w:b/>
          <w:bCs/>
          <w:lang w:val="fr-FR"/>
        </w:rPr>
        <w:t>local :</w:t>
      </w:r>
      <w:r w:rsidR="42D163E4" w:rsidRPr="17B7465E">
        <w:rPr>
          <w:b/>
          <w:bCs/>
          <w:lang w:val="fr-FR"/>
        </w:rPr>
        <w:t xml:space="preserve"> </w:t>
      </w:r>
      <w:r w:rsidRPr="17B7465E">
        <w:rPr>
          <w:lang w:val="fr-FR"/>
        </w:rPr>
        <w:t xml:space="preserve">0,25 % du chiffre d'affaires de la mine de </w:t>
      </w:r>
      <w:proofErr w:type="spellStart"/>
      <w:r w:rsidRPr="17B7465E">
        <w:rPr>
          <w:lang w:val="fr-FR"/>
        </w:rPr>
        <w:t>Simfer</w:t>
      </w:r>
      <w:proofErr w:type="spellEnd"/>
      <w:r w:rsidRPr="17B7465E">
        <w:rPr>
          <w:lang w:val="fr-FR"/>
        </w:rPr>
        <w:t xml:space="preserve"> et 0,5 % des recettes totales de la mine de WCS. Cependant, cette contribution </w:t>
      </w:r>
      <w:r w:rsidR="4B05CF07" w:rsidRPr="17B7465E">
        <w:rPr>
          <w:lang w:val="fr-FR"/>
        </w:rPr>
        <w:t>est</w:t>
      </w:r>
      <w:r w:rsidRPr="17B7465E">
        <w:rPr>
          <w:lang w:val="fr-FR"/>
        </w:rPr>
        <w:t xml:space="preserve"> non applicable </w:t>
      </w:r>
      <w:r w:rsidR="4F4FB602" w:rsidRPr="17B7465E">
        <w:rPr>
          <w:lang w:val="fr-FR"/>
        </w:rPr>
        <w:t xml:space="preserve">d’après nos informations </w:t>
      </w:r>
      <w:r w:rsidRPr="17B7465E">
        <w:rPr>
          <w:lang w:val="fr-FR"/>
        </w:rPr>
        <w:t>à la société de gestion d'infrastructures CTG.</w:t>
      </w:r>
    </w:p>
    <w:p w14:paraId="10E54378" w14:textId="173B21F8" w:rsidR="00CC15AA" w:rsidRPr="00CC15AA" w:rsidRDefault="59CA48F7" w:rsidP="008C0E5E">
      <w:pPr>
        <w:numPr>
          <w:ilvl w:val="0"/>
          <w:numId w:val="5"/>
        </w:numPr>
        <w:spacing w:line="259" w:lineRule="auto"/>
        <w:jc w:val="both"/>
        <w:rPr>
          <w:lang w:val="nb-NO"/>
        </w:rPr>
      </w:pPr>
      <w:proofErr w:type="spellStart"/>
      <w:r w:rsidRPr="17B7465E">
        <w:rPr>
          <w:b/>
          <w:bCs/>
          <w:lang w:val="nb-NO"/>
        </w:rPr>
        <w:t>Impôt</w:t>
      </w:r>
      <w:proofErr w:type="spellEnd"/>
      <w:r w:rsidRPr="17B7465E">
        <w:rPr>
          <w:b/>
          <w:bCs/>
          <w:lang w:val="nb-NO"/>
        </w:rPr>
        <w:t xml:space="preserve"> </w:t>
      </w:r>
      <w:proofErr w:type="gramStart"/>
      <w:r w:rsidR="6F23979D" w:rsidRPr="17B7465E">
        <w:rPr>
          <w:b/>
          <w:bCs/>
          <w:lang w:val="nb-NO"/>
        </w:rPr>
        <w:t>sur les</w:t>
      </w:r>
      <w:proofErr w:type="gramEnd"/>
      <w:r w:rsidRPr="17B7465E">
        <w:rPr>
          <w:b/>
          <w:bCs/>
          <w:lang w:val="nb-NO"/>
        </w:rPr>
        <w:t xml:space="preserve"> </w:t>
      </w:r>
      <w:proofErr w:type="spellStart"/>
      <w:proofErr w:type="gramStart"/>
      <w:r w:rsidRPr="17B7465E">
        <w:rPr>
          <w:b/>
          <w:bCs/>
          <w:lang w:val="nb-NO"/>
        </w:rPr>
        <w:t>sociétés</w:t>
      </w:r>
      <w:proofErr w:type="spellEnd"/>
      <w:r w:rsidRPr="17B7465E">
        <w:rPr>
          <w:b/>
          <w:bCs/>
          <w:lang w:val="nb-NO"/>
        </w:rPr>
        <w:t xml:space="preserve"> :</w:t>
      </w:r>
      <w:proofErr w:type="gramEnd"/>
      <w:r w:rsidRPr="17B7465E">
        <w:rPr>
          <w:lang w:val="nb-NO"/>
        </w:rPr>
        <w:t xml:space="preserve"> </w:t>
      </w:r>
    </w:p>
    <w:p w14:paraId="465A00E6" w14:textId="1AD1FEF0" w:rsidR="00CC15AA" w:rsidRPr="00DC6E23" w:rsidRDefault="59CA48F7" w:rsidP="008C0E5E">
      <w:pPr>
        <w:numPr>
          <w:ilvl w:val="1"/>
          <w:numId w:val="5"/>
        </w:numPr>
        <w:spacing w:line="259" w:lineRule="auto"/>
        <w:jc w:val="both"/>
        <w:rPr>
          <w:lang w:val="fr-FR"/>
        </w:rPr>
      </w:pPr>
      <w:r w:rsidRPr="00DC6E23">
        <w:rPr>
          <w:lang w:val="fr-FR"/>
        </w:rPr>
        <w:t xml:space="preserve">Infrastructures </w:t>
      </w:r>
      <w:proofErr w:type="gramStart"/>
      <w:r w:rsidR="3BCFE3F9" w:rsidRPr="00DC6E23">
        <w:rPr>
          <w:lang w:val="fr-FR"/>
        </w:rPr>
        <w:t>CTG:</w:t>
      </w:r>
      <w:proofErr w:type="gramEnd"/>
      <w:r w:rsidRPr="00DC6E23">
        <w:rPr>
          <w:lang w:val="fr-FR"/>
        </w:rPr>
        <w:t xml:space="preserve"> 15 % pour les années 1 à 17, puis 25 % pour les années 18 et suivantes.</w:t>
      </w:r>
    </w:p>
    <w:p w14:paraId="05E15B23" w14:textId="77777777" w:rsidR="00CC15AA" w:rsidRPr="00DC6E23" w:rsidRDefault="00CC15AA" w:rsidP="008C0E5E">
      <w:pPr>
        <w:numPr>
          <w:ilvl w:val="1"/>
          <w:numId w:val="5"/>
        </w:numPr>
        <w:spacing w:line="259" w:lineRule="auto"/>
        <w:jc w:val="both"/>
        <w:rPr>
          <w:lang w:val="fr-FR"/>
        </w:rPr>
      </w:pPr>
      <w:r w:rsidRPr="00DC6E23">
        <w:rPr>
          <w:lang w:val="fr-FR"/>
        </w:rPr>
        <w:t xml:space="preserve">Mine </w:t>
      </w:r>
      <w:proofErr w:type="spellStart"/>
      <w:r w:rsidRPr="00DC6E23">
        <w:rPr>
          <w:lang w:val="fr-FR"/>
        </w:rPr>
        <w:t>Simfer</w:t>
      </w:r>
      <w:proofErr w:type="spellEnd"/>
      <w:r w:rsidRPr="00DC6E23">
        <w:rPr>
          <w:lang w:val="fr-FR"/>
        </w:rPr>
        <w:t xml:space="preserve"> : 15 % pour les années 1 à 8, puis 30 % pour les années 9 et suivantes.</w:t>
      </w:r>
    </w:p>
    <w:p w14:paraId="3172108D" w14:textId="63A22011" w:rsidR="00CC15AA" w:rsidRPr="00DC6E23" w:rsidRDefault="59CA48F7" w:rsidP="008C0E5E">
      <w:pPr>
        <w:numPr>
          <w:ilvl w:val="1"/>
          <w:numId w:val="5"/>
        </w:numPr>
        <w:spacing w:line="259" w:lineRule="auto"/>
        <w:jc w:val="both"/>
        <w:rPr>
          <w:lang w:val="fr-FR"/>
        </w:rPr>
      </w:pPr>
      <w:r w:rsidRPr="00DC6E23">
        <w:rPr>
          <w:lang w:val="fr-FR"/>
        </w:rPr>
        <w:t xml:space="preserve">Mine </w:t>
      </w:r>
      <w:proofErr w:type="gramStart"/>
      <w:r w:rsidR="018DDB38" w:rsidRPr="00DC6E23">
        <w:rPr>
          <w:lang w:val="fr-FR"/>
        </w:rPr>
        <w:t>WCS:</w:t>
      </w:r>
      <w:proofErr w:type="gramEnd"/>
      <w:r w:rsidRPr="00DC6E23">
        <w:rPr>
          <w:lang w:val="fr-FR"/>
        </w:rPr>
        <w:t xml:space="preserve"> 0 % pour les années 1 à 10, puis 30 % pour les années 11 et suivantes (sur la base de la Convention de Base 2020 signée par W</w:t>
      </w:r>
      <w:r w:rsidR="234A46A7" w:rsidRPr="00DC6E23">
        <w:rPr>
          <w:lang w:val="fr-FR"/>
        </w:rPr>
        <w:t xml:space="preserve"> </w:t>
      </w:r>
      <w:r w:rsidRPr="00DC6E23">
        <w:rPr>
          <w:lang w:val="fr-FR"/>
        </w:rPr>
        <w:t>CS).</w:t>
      </w:r>
    </w:p>
    <w:p w14:paraId="453CEBD6" w14:textId="1B6BDAA6" w:rsidR="00F43C01" w:rsidRPr="00DC6E23" w:rsidRDefault="00F43C01" w:rsidP="17B7465E">
      <w:pPr>
        <w:spacing w:line="259" w:lineRule="auto"/>
        <w:ind w:left="720"/>
        <w:jc w:val="both"/>
        <w:rPr>
          <w:lang w:val="fr-FR"/>
        </w:rPr>
      </w:pPr>
    </w:p>
    <w:p w14:paraId="214B0015" w14:textId="5FFD2D70" w:rsidR="00F43C01" w:rsidRPr="00DC6E23" w:rsidRDefault="00F43C01" w:rsidP="17B7465E">
      <w:pPr>
        <w:spacing w:line="259" w:lineRule="auto"/>
        <w:ind w:left="720"/>
        <w:jc w:val="both"/>
        <w:rPr>
          <w:lang w:val="fr-FR"/>
        </w:rPr>
      </w:pPr>
    </w:p>
    <w:p w14:paraId="2CD5503D" w14:textId="0E984C6F" w:rsidR="00F43C01" w:rsidRDefault="00F43C01" w:rsidP="17B7465E">
      <w:pPr>
        <w:spacing w:line="259" w:lineRule="auto"/>
        <w:ind w:left="720"/>
        <w:jc w:val="both"/>
        <w:rPr>
          <w:lang w:val="fr-FR"/>
        </w:rPr>
      </w:pPr>
    </w:p>
    <w:p w14:paraId="7FD91C6E" w14:textId="77777777" w:rsidR="001B3621" w:rsidRDefault="001B3621" w:rsidP="17B7465E">
      <w:pPr>
        <w:spacing w:line="259" w:lineRule="auto"/>
        <w:ind w:left="720"/>
        <w:jc w:val="both"/>
        <w:rPr>
          <w:lang w:val="fr-FR"/>
        </w:rPr>
      </w:pPr>
    </w:p>
    <w:p w14:paraId="62A7D859" w14:textId="211DACF4" w:rsidR="001B3621" w:rsidRPr="00DC6E23" w:rsidRDefault="001B3621" w:rsidP="17B7465E">
      <w:pPr>
        <w:spacing w:line="259" w:lineRule="auto"/>
        <w:ind w:left="720"/>
        <w:jc w:val="both"/>
        <w:rPr>
          <w:lang w:val="fr-FR"/>
        </w:rPr>
      </w:pPr>
      <w:r w:rsidRPr="00DC6E23">
        <w:rPr>
          <w:b/>
          <w:bCs/>
          <w:lang w:val="fr-FR"/>
        </w:rPr>
        <w:lastRenderedPageBreak/>
        <w:t xml:space="preserve">Tableau 1 : Résumé </w:t>
      </w:r>
      <w:r>
        <w:rPr>
          <w:b/>
          <w:bCs/>
          <w:lang w:val="fr-FR"/>
        </w:rPr>
        <w:t xml:space="preserve">des </w:t>
      </w:r>
      <w:proofErr w:type="spellStart"/>
      <w:r>
        <w:rPr>
          <w:b/>
          <w:bCs/>
          <w:lang w:val="fr-FR"/>
        </w:rPr>
        <w:t>éléménts</w:t>
      </w:r>
      <w:proofErr w:type="spellEnd"/>
      <w:r>
        <w:rPr>
          <w:b/>
          <w:bCs/>
          <w:lang w:val="fr-FR"/>
        </w:rPr>
        <w:t xml:space="preserve"> clés applicables aux régimes fiscaux des entreprises</w:t>
      </w:r>
    </w:p>
    <w:tbl>
      <w:tblPr>
        <w:tblW w:w="9829"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239"/>
        <w:gridCol w:w="2571"/>
        <w:gridCol w:w="1874"/>
        <w:gridCol w:w="2145"/>
      </w:tblGrid>
      <w:tr w:rsidR="17B7465E" w14:paraId="60037F7C" w14:textId="77777777" w:rsidTr="00177B08">
        <w:trPr>
          <w:trHeight w:val="298"/>
        </w:trPr>
        <w:tc>
          <w:tcPr>
            <w:tcW w:w="3239" w:type="dxa"/>
            <w:vAlign w:val="center"/>
          </w:tcPr>
          <w:p w14:paraId="1429F463" w14:textId="22D0D0CC" w:rsidR="17B7465E" w:rsidRDefault="17B7465E" w:rsidP="17B7465E">
            <w:pPr>
              <w:spacing w:before="0" w:after="0"/>
              <w:jc w:val="center"/>
              <w:rPr>
                <w:b/>
                <w:bCs/>
                <w:lang w:val="en-US"/>
              </w:rPr>
            </w:pPr>
            <w:proofErr w:type="spellStart"/>
            <w:r w:rsidRPr="17B7465E">
              <w:rPr>
                <w:b/>
                <w:bCs/>
                <w:lang w:val="en-US"/>
              </w:rPr>
              <w:t>Paramètres</w:t>
            </w:r>
            <w:proofErr w:type="spellEnd"/>
            <w:r w:rsidRPr="17B7465E">
              <w:rPr>
                <w:b/>
                <w:bCs/>
                <w:lang w:val="en-US"/>
              </w:rPr>
              <w:t xml:space="preserve"> </w:t>
            </w:r>
            <w:proofErr w:type="spellStart"/>
            <w:r w:rsidRPr="17B7465E">
              <w:rPr>
                <w:b/>
                <w:bCs/>
                <w:lang w:val="en-US"/>
              </w:rPr>
              <w:t>fiscaux</w:t>
            </w:r>
            <w:proofErr w:type="spellEnd"/>
            <w:r w:rsidRPr="17B7465E">
              <w:rPr>
                <w:b/>
                <w:bCs/>
                <w:lang w:val="en-US"/>
              </w:rPr>
              <w:t xml:space="preserve"> </w:t>
            </w:r>
            <w:proofErr w:type="spellStart"/>
            <w:r w:rsidRPr="17B7465E">
              <w:rPr>
                <w:b/>
                <w:bCs/>
                <w:lang w:val="en-US"/>
              </w:rPr>
              <w:t>clés</w:t>
            </w:r>
            <w:proofErr w:type="spellEnd"/>
          </w:p>
        </w:tc>
        <w:tc>
          <w:tcPr>
            <w:tcW w:w="2571" w:type="dxa"/>
            <w:vAlign w:val="center"/>
          </w:tcPr>
          <w:p w14:paraId="691ABE77" w14:textId="4CE4F3DF" w:rsidR="17B7465E" w:rsidRDefault="17B7465E" w:rsidP="17B7465E">
            <w:pPr>
              <w:spacing w:before="0" w:after="0"/>
              <w:jc w:val="center"/>
              <w:rPr>
                <w:b/>
                <w:bCs/>
                <w:lang w:val="en-US"/>
              </w:rPr>
            </w:pPr>
            <w:proofErr w:type="spellStart"/>
            <w:r w:rsidRPr="17B7465E">
              <w:rPr>
                <w:b/>
                <w:bCs/>
                <w:lang w:val="en-US"/>
              </w:rPr>
              <w:t>Simfer</w:t>
            </w:r>
            <w:proofErr w:type="spellEnd"/>
            <w:r w:rsidRPr="17B7465E">
              <w:rPr>
                <w:b/>
                <w:bCs/>
                <w:lang w:val="en-US"/>
              </w:rPr>
              <w:t xml:space="preserve"> Mine</w:t>
            </w:r>
          </w:p>
        </w:tc>
        <w:tc>
          <w:tcPr>
            <w:tcW w:w="1874" w:type="dxa"/>
            <w:vAlign w:val="center"/>
          </w:tcPr>
          <w:p w14:paraId="63FCFF92" w14:textId="2F72904F" w:rsidR="734F77C1" w:rsidRDefault="734F77C1" w:rsidP="17B7465E">
            <w:pPr>
              <w:jc w:val="center"/>
              <w:rPr>
                <w:b/>
                <w:bCs/>
                <w:lang w:val="en-US"/>
              </w:rPr>
            </w:pPr>
            <w:r w:rsidRPr="17B7465E">
              <w:rPr>
                <w:b/>
                <w:bCs/>
                <w:lang w:val="en-US"/>
              </w:rPr>
              <w:t>WCS Mine</w:t>
            </w:r>
          </w:p>
        </w:tc>
        <w:tc>
          <w:tcPr>
            <w:tcW w:w="2145" w:type="dxa"/>
            <w:vAlign w:val="center"/>
          </w:tcPr>
          <w:p w14:paraId="3249DC0D" w14:textId="044038C8" w:rsidR="1A328595" w:rsidRDefault="1A328595" w:rsidP="17B7465E">
            <w:pPr>
              <w:spacing w:before="0" w:after="0"/>
              <w:jc w:val="center"/>
              <w:rPr>
                <w:b/>
                <w:bCs/>
                <w:lang w:val="en-US"/>
              </w:rPr>
            </w:pPr>
            <w:r w:rsidRPr="17B7465E">
              <w:rPr>
                <w:b/>
                <w:bCs/>
                <w:lang w:val="en-US"/>
              </w:rPr>
              <w:t>CTG</w:t>
            </w:r>
            <w:r w:rsidR="17B7465E" w:rsidRPr="17B7465E">
              <w:rPr>
                <w:b/>
                <w:bCs/>
                <w:lang w:val="en-US"/>
              </w:rPr>
              <w:t xml:space="preserve"> </w:t>
            </w:r>
            <w:proofErr w:type="spellStart"/>
            <w:r w:rsidR="17B7465E" w:rsidRPr="17B7465E">
              <w:rPr>
                <w:b/>
                <w:bCs/>
                <w:lang w:val="en-US"/>
              </w:rPr>
              <w:t>Simandou</w:t>
            </w:r>
            <w:proofErr w:type="spellEnd"/>
          </w:p>
        </w:tc>
      </w:tr>
      <w:tr w:rsidR="17B7465E" w:rsidRPr="00DC6E23" w14:paraId="7089D717" w14:textId="77777777" w:rsidTr="00177B08">
        <w:trPr>
          <w:trHeight w:val="298"/>
        </w:trPr>
        <w:tc>
          <w:tcPr>
            <w:tcW w:w="3239" w:type="dxa"/>
            <w:vAlign w:val="center"/>
          </w:tcPr>
          <w:p w14:paraId="1564139D" w14:textId="15004C2D" w:rsidR="17B7465E" w:rsidRDefault="17B7465E" w:rsidP="17B7465E">
            <w:pPr>
              <w:spacing w:before="0" w:after="0"/>
              <w:rPr>
                <w:b/>
                <w:bCs/>
                <w:lang w:val="en-US"/>
              </w:rPr>
            </w:pPr>
            <w:r w:rsidRPr="17B7465E">
              <w:rPr>
                <w:b/>
                <w:bCs/>
                <w:lang w:val="en-US"/>
              </w:rPr>
              <w:t xml:space="preserve">Cadre </w:t>
            </w:r>
            <w:proofErr w:type="spellStart"/>
            <w:r w:rsidRPr="17B7465E">
              <w:rPr>
                <w:b/>
                <w:bCs/>
                <w:lang w:val="en-US"/>
              </w:rPr>
              <w:t>juridique</w:t>
            </w:r>
            <w:proofErr w:type="spellEnd"/>
            <w:r w:rsidRPr="17B7465E">
              <w:rPr>
                <w:b/>
                <w:bCs/>
                <w:lang w:val="en-US"/>
              </w:rPr>
              <w:t xml:space="preserve"> applicable</w:t>
            </w:r>
          </w:p>
        </w:tc>
        <w:tc>
          <w:tcPr>
            <w:tcW w:w="2571" w:type="dxa"/>
            <w:vAlign w:val="center"/>
          </w:tcPr>
          <w:p w14:paraId="20B5DEC5" w14:textId="071A1CFE" w:rsidR="17B7465E" w:rsidRDefault="17B7465E" w:rsidP="17B7465E">
            <w:pPr>
              <w:spacing w:before="0" w:after="0"/>
              <w:rPr>
                <w:lang w:val="fr-FR"/>
              </w:rPr>
            </w:pPr>
            <w:r w:rsidRPr="17B7465E">
              <w:rPr>
                <w:lang w:val="fr-FR"/>
              </w:rPr>
              <w:t xml:space="preserve">Convention </w:t>
            </w:r>
            <w:proofErr w:type="spellStart"/>
            <w:r w:rsidRPr="17B7465E">
              <w:rPr>
                <w:lang w:val="fr-FR"/>
              </w:rPr>
              <w:t>Simfer</w:t>
            </w:r>
            <w:proofErr w:type="spellEnd"/>
            <w:r w:rsidR="31DDC895" w:rsidRPr="17B7465E">
              <w:rPr>
                <w:lang w:val="fr-FR"/>
              </w:rPr>
              <w:t xml:space="preserve"> modifiée par l’Accord Bipartite et l’Accord de co-développement</w:t>
            </w:r>
          </w:p>
        </w:tc>
        <w:tc>
          <w:tcPr>
            <w:tcW w:w="1874" w:type="dxa"/>
            <w:vAlign w:val="center"/>
          </w:tcPr>
          <w:p w14:paraId="05351B50" w14:textId="58B899AC" w:rsidR="31DDC895" w:rsidRDefault="31DDC895" w:rsidP="17B7465E">
            <w:pPr>
              <w:rPr>
                <w:lang w:val="fr-FR"/>
              </w:rPr>
            </w:pPr>
            <w:r w:rsidRPr="17B7465E">
              <w:rPr>
                <w:lang w:val="fr-FR"/>
              </w:rPr>
              <w:t>Convention minière modifiée par l’Accord de co-développement</w:t>
            </w:r>
          </w:p>
        </w:tc>
        <w:tc>
          <w:tcPr>
            <w:tcW w:w="2145" w:type="dxa"/>
            <w:vAlign w:val="center"/>
          </w:tcPr>
          <w:p w14:paraId="02A773FA" w14:textId="3E9B1A08" w:rsidR="3DEBB672" w:rsidRDefault="3DEBB672" w:rsidP="17B7465E">
            <w:pPr>
              <w:rPr>
                <w:lang w:val="fr-FR"/>
              </w:rPr>
            </w:pPr>
            <w:r w:rsidRPr="17B7465E">
              <w:rPr>
                <w:lang w:val="fr-FR"/>
              </w:rPr>
              <w:t>WCS Port et Rail modifiées par l’Accord de co-développement</w:t>
            </w:r>
          </w:p>
        </w:tc>
      </w:tr>
      <w:tr w:rsidR="17B7465E" w14:paraId="5D1527DF" w14:textId="77777777" w:rsidTr="00177B08">
        <w:trPr>
          <w:trHeight w:val="298"/>
        </w:trPr>
        <w:tc>
          <w:tcPr>
            <w:tcW w:w="3239" w:type="dxa"/>
            <w:vMerge w:val="restart"/>
            <w:vAlign w:val="center"/>
          </w:tcPr>
          <w:p w14:paraId="0D01B089" w14:textId="2801BEDC" w:rsidR="17B7465E" w:rsidRDefault="17B7465E" w:rsidP="17B7465E">
            <w:pPr>
              <w:spacing w:before="0" w:after="0"/>
              <w:rPr>
                <w:b/>
                <w:bCs/>
                <w:lang w:val="en-US"/>
              </w:rPr>
            </w:pPr>
            <w:proofErr w:type="spellStart"/>
            <w:r w:rsidRPr="17B7465E">
              <w:rPr>
                <w:b/>
                <w:bCs/>
                <w:lang w:val="en-US"/>
              </w:rPr>
              <w:t>Impôt</w:t>
            </w:r>
            <w:proofErr w:type="spellEnd"/>
            <w:r w:rsidRPr="17B7465E">
              <w:rPr>
                <w:b/>
                <w:bCs/>
                <w:lang w:val="en-US"/>
              </w:rPr>
              <w:t xml:space="preserve"> sur les sociétés</w:t>
            </w:r>
          </w:p>
        </w:tc>
        <w:tc>
          <w:tcPr>
            <w:tcW w:w="2571" w:type="dxa"/>
            <w:vAlign w:val="center"/>
          </w:tcPr>
          <w:p w14:paraId="61011E49" w14:textId="32D841E7" w:rsidR="17B7465E" w:rsidRDefault="17B7465E" w:rsidP="17B7465E">
            <w:pPr>
              <w:spacing w:before="0" w:after="0"/>
              <w:rPr>
                <w:b/>
                <w:bCs/>
                <w:lang w:val="en-US"/>
              </w:rPr>
            </w:pPr>
            <w:r w:rsidRPr="17B7465E">
              <w:rPr>
                <w:lang w:val="en-US"/>
              </w:rPr>
              <w:t xml:space="preserve">Années 1 à </w:t>
            </w:r>
            <w:proofErr w:type="gramStart"/>
            <w:r w:rsidRPr="17B7465E">
              <w:rPr>
                <w:lang w:val="en-US"/>
              </w:rPr>
              <w:t>8 :</w:t>
            </w:r>
            <w:proofErr w:type="gramEnd"/>
            <w:r w:rsidRPr="17B7465E">
              <w:rPr>
                <w:lang w:val="en-US"/>
              </w:rPr>
              <w:t xml:space="preserve"> </w:t>
            </w:r>
            <w:r w:rsidRPr="17B7465E">
              <w:rPr>
                <w:b/>
                <w:bCs/>
                <w:lang w:val="en-US"/>
              </w:rPr>
              <w:t>15 %</w:t>
            </w:r>
          </w:p>
        </w:tc>
        <w:tc>
          <w:tcPr>
            <w:tcW w:w="1874" w:type="dxa"/>
            <w:vAlign w:val="center"/>
          </w:tcPr>
          <w:p w14:paraId="7CAFC892" w14:textId="27172DC0" w:rsidR="15091116" w:rsidRDefault="3060E497" w:rsidP="17B7465E">
            <w:pPr>
              <w:spacing w:before="0" w:after="0"/>
              <w:rPr>
                <w:b/>
                <w:bCs/>
                <w:lang w:val="en-US"/>
              </w:rPr>
            </w:pPr>
            <w:r w:rsidRPr="035BFF2E">
              <w:rPr>
                <w:lang w:val="en-US"/>
              </w:rPr>
              <w:t xml:space="preserve">Années 1 à </w:t>
            </w:r>
            <w:proofErr w:type="gramStart"/>
            <w:r w:rsidRPr="035BFF2E">
              <w:rPr>
                <w:lang w:val="en-US"/>
              </w:rPr>
              <w:t>10 :</w:t>
            </w:r>
            <w:proofErr w:type="gramEnd"/>
            <w:r w:rsidRPr="035BFF2E">
              <w:rPr>
                <w:lang w:val="en-US"/>
              </w:rPr>
              <w:t xml:space="preserve"> </w:t>
            </w:r>
            <w:r w:rsidRPr="035BFF2E">
              <w:rPr>
                <w:b/>
                <w:bCs/>
                <w:lang w:val="en-US"/>
              </w:rPr>
              <w:t>0 %</w:t>
            </w:r>
          </w:p>
          <w:p w14:paraId="7315000A" w14:textId="3B3027CD" w:rsidR="17B7465E" w:rsidRDefault="17B7465E" w:rsidP="17B7465E"/>
        </w:tc>
        <w:tc>
          <w:tcPr>
            <w:tcW w:w="2145" w:type="dxa"/>
            <w:vAlign w:val="center"/>
          </w:tcPr>
          <w:p w14:paraId="69440C4D" w14:textId="4C69C6CB" w:rsidR="6616E7DC" w:rsidRDefault="6616E7DC" w:rsidP="17B7465E">
            <w:pPr>
              <w:spacing w:before="0" w:after="0"/>
              <w:rPr>
                <w:b/>
                <w:bCs/>
                <w:lang w:val="en-US"/>
              </w:rPr>
            </w:pPr>
            <w:r w:rsidRPr="17B7465E">
              <w:rPr>
                <w:lang w:val="en-US"/>
              </w:rPr>
              <w:t xml:space="preserve">Années 1 à </w:t>
            </w:r>
            <w:proofErr w:type="gramStart"/>
            <w:r w:rsidRPr="17B7465E">
              <w:rPr>
                <w:lang w:val="en-US"/>
              </w:rPr>
              <w:t>17 :</w:t>
            </w:r>
            <w:proofErr w:type="gramEnd"/>
            <w:r w:rsidRPr="17B7465E">
              <w:rPr>
                <w:lang w:val="en-US"/>
              </w:rPr>
              <w:t xml:space="preserve"> </w:t>
            </w:r>
            <w:r w:rsidRPr="17B7465E">
              <w:rPr>
                <w:b/>
                <w:bCs/>
                <w:lang w:val="en-US"/>
              </w:rPr>
              <w:t>15 %</w:t>
            </w:r>
          </w:p>
          <w:p w14:paraId="3C62A114" w14:textId="0FEA3016" w:rsidR="17B7465E" w:rsidRDefault="17B7465E"/>
        </w:tc>
      </w:tr>
      <w:tr w:rsidR="17B7465E" w14:paraId="3FD86A97" w14:textId="77777777" w:rsidTr="001B3621">
        <w:trPr>
          <w:trHeight w:val="1591"/>
        </w:trPr>
        <w:tc>
          <w:tcPr>
            <w:tcW w:w="3239" w:type="dxa"/>
            <w:vMerge/>
            <w:vAlign w:val="center"/>
          </w:tcPr>
          <w:p w14:paraId="226803A4" w14:textId="77777777" w:rsidR="000D45BF" w:rsidRDefault="000D45BF"/>
        </w:tc>
        <w:tc>
          <w:tcPr>
            <w:tcW w:w="2571" w:type="dxa"/>
            <w:vAlign w:val="center"/>
          </w:tcPr>
          <w:p w14:paraId="30D48E9D" w14:textId="1E406C2B" w:rsidR="41E5AC5D" w:rsidRDefault="41E5AC5D" w:rsidP="17B7465E">
            <w:pPr>
              <w:spacing w:before="0" w:after="0"/>
              <w:rPr>
                <w:b/>
                <w:bCs/>
                <w:lang w:val="en-US"/>
              </w:rPr>
            </w:pPr>
            <w:r w:rsidRPr="17B7465E">
              <w:rPr>
                <w:lang w:val="en-US"/>
              </w:rPr>
              <w:t xml:space="preserve">À </w:t>
            </w:r>
            <w:proofErr w:type="spellStart"/>
            <w:r w:rsidRPr="17B7465E">
              <w:rPr>
                <w:lang w:val="en-US"/>
              </w:rPr>
              <w:t>partir</w:t>
            </w:r>
            <w:proofErr w:type="spellEnd"/>
            <w:r w:rsidRPr="17B7465E">
              <w:rPr>
                <w:lang w:val="en-US"/>
              </w:rPr>
              <w:t xml:space="preserve"> de </w:t>
            </w:r>
            <w:proofErr w:type="spellStart"/>
            <w:r w:rsidRPr="17B7465E">
              <w:rPr>
                <w:lang w:val="en-US"/>
              </w:rPr>
              <w:t>l’année</w:t>
            </w:r>
            <w:proofErr w:type="spellEnd"/>
            <w:r w:rsidRPr="17B7465E">
              <w:rPr>
                <w:lang w:val="en-US"/>
              </w:rPr>
              <w:t xml:space="preserve"> </w:t>
            </w:r>
            <w:proofErr w:type="gramStart"/>
            <w:r w:rsidRPr="17B7465E">
              <w:rPr>
                <w:lang w:val="en-US"/>
              </w:rPr>
              <w:t>9 :</w:t>
            </w:r>
            <w:proofErr w:type="gramEnd"/>
            <w:r w:rsidRPr="17B7465E">
              <w:rPr>
                <w:lang w:val="en-US"/>
              </w:rPr>
              <w:t xml:space="preserve"> </w:t>
            </w:r>
            <w:r w:rsidRPr="17B7465E">
              <w:rPr>
                <w:b/>
                <w:bCs/>
                <w:lang w:val="en-US"/>
              </w:rPr>
              <w:t>30 %</w:t>
            </w:r>
          </w:p>
          <w:p w14:paraId="4DB03C37" w14:textId="246FECD8" w:rsidR="17B7465E" w:rsidRDefault="17B7465E" w:rsidP="17B7465E">
            <w:pPr>
              <w:spacing w:before="0" w:after="0"/>
              <w:rPr>
                <w:b/>
                <w:bCs/>
                <w:lang w:val="en-US"/>
              </w:rPr>
            </w:pPr>
          </w:p>
        </w:tc>
        <w:tc>
          <w:tcPr>
            <w:tcW w:w="1874" w:type="dxa"/>
            <w:vAlign w:val="center"/>
          </w:tcPr>
          <w:p w14:paraId="5E30089B" w14:textId="464A4689" w:rsidR="17B7465E" w:rsidRDefault="17B7465E" w:rsidP="17B7465E">
            <w:pPr>
              <w:spacing w:before="0" w:after="0"/>
              <w:rPr>
                <w:b/>
                <w:bCs/>
                <w:lang w:val="en-US"/>
              </w:rPr>
            </w:pPr>
          </w:p>
          <w:p w14:paraId="40E00E30" w14:textId="36C1D810" w:rsidR="17B7465E" w:rsidRDefault="17B7465E" w:rsidP="17B7465E">
            <w:pPr>
              <w:spacing w:before="0" w:after="0"/>
              <w:rPr>
                <w:lang w:val="en-US"/>
              </w:rPr>
            </w:pPr>
          </w:p>
          <w:p w14:paraId="43E0802C" w14:textId="6849F0F6" w:rsidR="17B7465E" w:rsidRDefault="17B7465E" w:rsidP="17B7465E">
            <w:pPr>
              <w:spacing w:before="0" w:after="0"/>
              <w:rPr>
                <w:lang w:val="en-US"/>
              </w:rPr>
            </w:pPr>
          </w:p>
          <w:p w14:paraId="6DBD9063" w14:textId="4717D66C" w:rsidR="17B7465E" w:rsidRDefault="17B7465E" w:rsidP="17B7465E">
            <w:pPr>
              <w:spacing w:before="0" w:after="0"/>
              <w:rPr>
                <w:lang w:val="en-US"/>
              </w:rPr>
            </w:pPr>
          </w:p>
          <w:p w14:paraId="64BA9DF1" w14:textId="06DD08AB" w:rsidR="4040F663" w:rsidRDefault="4040F663" w:rsidP="17B7465E">
            <w:pPr>
              <w:spacing w:before="0" w:after="0"/>
              <w:rPr>
                <w:b/>
                <w:bCs/>
                <w:lang w:val="en-US"/>
              </w:rPr>
            </w:pPr>
            <w:r w:rsidRPr="17B7465E">
              <w:rPr>
                <w:lang w:val="en-US"/>
              </w:rPr>
              <w:t xml:space="preserve">À </w:t>
            </w:r>
            <w:proofErr w:type="spellStart"/>
            <w:r w:rsidRPr="17B7465E">
              <w:rPr>
                <w:lang w:val="en-US"/>
              </w:rPr>
              <w:t>partir</w:t>
            </w:r>
            <w:proofErr w:type="spellEnd"/>
            <w:r w:rsidRPr="17B7465E">
              <w:rPr>
                <w:lang w:val="en-US"/>
              </w:rPr>
              <w:t xml:space="preserve"> de </w:t>
            </w:r>
            <w:proofErr w:type="spellStart"/>
            <w:r w:rsidRPr="17B7465E">
              <w:rPr>
                <w:lang w:val="en-US"/>
              </w:rPr>
              <w:t>l’année</w:t>
            </w:r>
            <w:proofErr w:type="spellEnd"/>
            <w:r w:rsidRPr="17B7465E">
              <w:rPr>
                <w:lang w:val="en-US"/>
              </w:rPr>
              <w:t xml:space="preserve"> </w:t>
            </w:r>
            <w:proofErr w:type="gramStart"/>
            <w:r w:rsidRPr="17B7465E">
              <w:rPr>
                <w:lang w:val="en-US"/>
              </w:rPr>
              <w:t>9 :</w:t>
            </w:r>
            <w:proofErr w:type="gramEnd"/>
            <w:r w:rsidRPr="17B7465E">
              <w:rPr>
                <w:lang w:val="en-US"/>
              </w:rPr>
              <w:t xml:space="preserve"> </w:t>
            </w:r>
            <w:r w:rsidRPr="17B7465E">
              <w:rPr>
                <w:b/>
                <w:bCs/>
                <w:lang w:val="en-US"/>
              </w:rPr>
              <w:t>30 %</w:t>
            </w:r>
          </w:p>
          <w:p w14:paraId="1B385CA5" w14:textId="0B2DA7C4" w:rsidR="17B7465E" w:rsidRDefault="17B7465E" w:rsidP="17B7465E">
            <w:pPr>
              <w:rPr>
                <w:lang w:val="en-US"/>
              </w:rPr>
            </w:pPr>
          </w:p>
        </w:tc>
        <w:tc>
          <w:tcPr>
            <w:tcW w:w="2145" w:type="dxa"/>
            <w:vAlign w:val="center"/>
          </w:tcPr>
          <w:p w14:paraId="331FDB62" w14:textId="2675E5B3" w:rsidR="17B7465E" w:rsidRDefault="17B7465E" w:rsidP="17B7465E">
            <w:pPr>
              <w:spacing w:before="0" w:after="0"/>
              <w:rPr>
                <w:lang w:val="en-US"/>
              </w:rPr>
            </w:pPr>
          </w:p>
          <w:p w14:paraId="36F9982E" w14:textId="02286A4B" w:rsidR="17B7465E" w:rsidRDefault="17B7465E" w:rsidP="17B7465E">
            <w:pPr>
              <w:spacing w:before="0" w:after="0"/>
              <w:rPr>
                <w:lang w:val="en-US"/>
              </w:rPr>
            </w:pPr>
          </w:p>
          <w:p w14:paraId="2D7C7B28" w14:textId="13857937" w:rsidR="17B7465E" w:rsidRDefault="17B7465E" w:rsidP="17B7465E">
            <w:pPr>
              <w:spacing w:before="0" w:after="0"/>
              <w:rPr>
                <w:lang w:val="en-US"/>
              </w:rPr>
            </w:pPr>
          </w:p>
          <w:p w14:paraId="49400B17" w14:textId="1A71A420" w:rsidR="41E5AC5D" w:rsidRDefault="41E5AC5D" w:rsidP="17B7465E">
            <w:pPr>
              <w:spacing w:before="0" w:after="0"/>
              <w:rPr>
                <w:b/>
                <w:bCs/>
                <w:lang w:val="en-US"/>
              </w:rPr>
            </w:pPr>
            <w:r w:rsidRPr="17B7465E">
              <w:rPr>
                <w:lang w:val="en-US"/>
              </w:rPr>
              <w:t xml:space="preserve">À </w:t>
            </w:r>
            <w:proofErr w:type="spellStart"/>
            <w:r w:rsidRPr="17B7465E">
              <w:rPr>
                <w:lang w:val="en-US"/>
              </w:rPr>
              <w:t>partir</w:t>
            </w:r>
            <w:proofErr w:type="spellEnd"/>
            <w:r w:rsidRPr="17B7465E">
              <w:rPr>
                <w:lang w:val="en-US"/>
              </w:rPr>
              <w:t xml:space="preserve"> de </w:t>
            </w:r>
            <w:proofErr w:type="spellStart"/>
            <w:r w:rsidRPr="17B7465E">
              <w:rPr>
                <w:lang w:val="en-US"/>
              </w:rPr>
              <w:t>l’année</w:t>
            </w:r>
            <w:proofErr w:type="spellEnd"/>
            <w:r w:rsidRPr="17B7465E">
              <w:rPr>
                <w:lang w:val="en-US"/>
              </w:rPr>
              <w:t xml:space="preserve"> </w:t>
            </w:r>
            <w:proofErr w:type="gramStart"/>
            <w:r w:rsidRPr="17B7465E">
              <w:rPr>
                <w:lang w:val="en-US"/>
              </w:rPr>
              <w:t>18 :</w:t>
            </w:r>
            <w:proofErr w:type="gramEnd"/>
            <w:r w:rsidRPr="17B7465E">
              <w:rPr>
                <w:lang w:val="en-US"/>
              </w:rPr>
              <w:t xml:space="preserve"> </w:t>
            </w:r>
            <w:r w:rsidRPr="17B7465E">
              <w:rPr>
                <w:b/>
                <w:bCs/>
                <w:lang w:val="en-US"/>
              </w:rPr>
              <w:t>25 %</w:t>
            </w:r>
          </w:p>
          <w:p w14:paraId="0688D329" w14:textId="1BC729CA" w:rsidR="17B7465E" w:rsidRDefault="17B7465E"/>
        </w:tc>
      </w:tr>
      <w:tr w:rsidR="17B7465E" w14:paraId="739D2D86" w14:textId="77777777" w:rsidTr="00177B08">
        <w:trPr>
          <w:trHeight w:val="298"/>
        </w:trPr>
        <w:tc>
          <w:tcPr>
            <w:tcW w:w="3239" w:type="dxa"/>
            <w:vAlign w:val="center"/>
          </w:tcPr>
          <w:p w14:paraId="066E1E41" w14:textId="1364F255" w:rsidR="17B7465E" w:rsidRPr="00DC6E23" w:rsidRDefault="386E0D51" w:rsidP="17B7465E">
            <w:pPr>
              <w:spacing w:before="0" w:after="0"/>
              <w:rPr>
                <w:b/>
                <w:bCs/>
                <w:lang w:val="fr-FR"/>
              </w:rPr>
            </w:pPr>
            <w:r w:rsidRPr="00DC6E23">
              <w:rPr>
                <w:b/>
                <w:bCs/>
                <w:lang w:val="fr-FR"/>
              </w:rPr>
              <w:t>Taxe</w:t>
            </w:r>
            <w:r w:rsidR="17B3DDF5" w:rsidRPr="00DC6E23">
              <w:rPr>
                <w:b/>
                <w:bCs/>
                <w:lang w:val="fr-FR"/>
              </w:rPr>
              <w:t>s</w:t>
            </w:r>
            <w:r w:rsidRPr="00DC6E23">
              <w:rPr>
                <w:b/>
                <w:bCs/>
                <w:lang w:val="fr-FR"/>
              </w:rPr>
              <w:t xml:space="preserve"> minière</w:t>
            </w:r>
            <w:r w:rsidR="2CAAACF6" w:rsidRPr="00DC6E23">
              <w:rPr>
                <w:b/>
                <w:bCs/>
                <w:lang w:val="fr-FR"/>
              </w:rPr>
              <w:t>s</w:t>
            </w:r>
            <w:r w:rsidR="30CAD731" w:rsidRPr="00DC6E23">
              <w:rPr>
                <w:b/>
                <w:bCs/>
                <w:lang w:val="fr-FR"/>
              </w:rPr>
              <w:t xml:space="preserve"> (</w:t>
            </w:r>
            <w:r w:rsidR="422CB41F" w:rsidRPr="00DC6E23">
              <w:rPr>
                <w:b/>
                <w:bCs/>
                <w:lang w:val="fr-FR"/>
              </w:rPr>
              <w:t xml:space="preserve">Taxe d’extraction </w:t>
            </w:r>
            <w:r w:rsidR="30CAD731" w:rsidRPr="00DC6E23">
              <w:rPr>
                <w:b/>
                <w:bCs/>
                <w:lang w:val="fr-FR"/>
              </w:rPr>
              <w:t>et Taxe à l’exportation)</w:t>
            </w:r>
          </w:p>
        </w:tc>
        <w:tc>
          <w:tcPr>
            <w:tcW w:w="2571" w:type="dxa"/>
            <w:vAlign w:val="center"/>
          </w:tcPr>
          <w:p w14:paraId="025039ED" w14:textId="091EED6D" w:rsidR="17B7465E" w:rsidRDefault="17B7465E" w:rsidP="17B7465E">
            <w:pPr>
              <w:spacing w:before="0" w:after="0"/>
            </w:pPr>
            <w:r w:rsidRPr="17B7465E">
              <w:rPr>
                <w:b/>
                <w:bCs/>
              </w:rPr>
              <w:t>3,5 %</w:t>
            </w:r>
            <w:r>
              <w:t xml:space="preserve"> sur les exportations</w:t>
            </w:r>
          </w:p>
        </w:tc>
        <w:tc>
          <w:tcPr>
            <w:tcW w:w="1874" w:type="dxa"/>
            <w:vAlign w:val="center"/>
          </w:tcPr>
          <w:p w14:paraId="1072B974" w14:textId="44DF1CC6" w:rsidR="2BE5C61F" w:rsidRDefault="2BE5C61F" w:rsidP="17B7465E">
            <w:pPr>
              <w:rPr>
                <w:b/>
                <w:bCs/>
              </w:rPr>
            </w:pPr>
            <w:r w:rsidRPr="17B7465E">
              <w:rPr>
                <w:b/>
                <w:bCs/>
              </w:rPr>
              <w:t>5%</w:t>
            </w:r>
          </w:p>
        </w:tc>
        <w:tc>
          <w:tcPr>
            <w:tcW w:w="2145" w:type="dxa"/>
            <w:vAlign w:val="center"/>
          </w:tcPr>
          <w:p w14:paraId="31F3FD6D" w14:textId="7A94A393" w:rsidR="17B7465E" w:rsidRDefault="17B7465E" w:rsidP="17B7465E">
            <w:pPr>
              <w:spacing w:before="0" w:after="0"/>
            </w:pPr>
            <w:r>
              <w:t>N/A</w:t>
            </w:r>
          </w:p>
        </w:tc>
      </w:tr>
      <w:tr w:rsidR="17B7465E" w:rsidRPr="00DC6E23" w14:paraId="57B31B56" w14:textId="77777777" w:rsidTr="00177B08">
        <w:trPr>
          <w:trHeight w:val="298"/>
        </w:trPr>
        <w:tc>
          <w:tcPr>
            <w:tcW w:w="3239" w:type="dxa"/>
            <w:vAlign w:val="center"/>
          </w:tcPr>
          <w:p w14:paraId="2B4C72C2" w14:textId="6C8DAFB4" w:rsidR="17B7465E" w:rsidRDefault="17B7465E" w:rsidP="17B7465E">
            <w:pPr>
              <w:spacing w:before="0" w:after="0"/>
              <w:rPr>
                <w:b/>
                <w:bCs/>
                <w:lang w:val="en-US"/>
              </w:rPr>
            </w:pPr>
            <w:proofErr w:type="spellStart"/>
            <w:r w:rsidRPr="17B7465E">
              <w:rPr>
                <w:b/>
                <w:bCs/>
                <w:lang w:val="en-US"/>
              </w:rPr>
              <w:t>Redevance</w:t>
            </w:r>
            <w:proofErr w:type="spellEnd"/>
            <w:r w:rsidRPr="17B7465E">
              <w:rPr>
                <w:b/>
                <w:bCs/>
                <w:lang w:val="en-US"/>
              </w:rPr>
              <w:t xml:space="preserve"> de </w:t>
            </w:r>
            <w:proofErr w:type="spellStart"/>
            <w:r w:rsidRPr="17B7465E">
              <w:rPr>
                <w:b/>
                <w:bCs/>
                <w:lang w:val="en-US"/>
              </w:rPr>
              <w:t>transbordement</w:t>
            </w:r>
            <w:proofErr w:type="spellEnd"/>
          </w:p>
        </w:tc>
        <w:tc>
          <w:tcPr>
            <w:tcW w:w="2571" w:type="dxa"/>
            <w:vAlign w:val="center"/>
          </w:tcPr>
          <w:p w14:paraId="15469831" w14:textId="16FC830F" w:rsidR="17B7465E" w:rsidRDefault="17B7465E" w:rsidP="17B7465E">
            <w:pPr>
              <w:spacing w:before="0" w:after="0"/>
            </w:pPr>
            <w:r>
              <w:t>N/A</w:t>
            </w:r>
          </w:p>
        </w:tc>
        <w:tc>
          <w:tcPr>
            <w:tcW w:w="1874" w:type="dxa"/>
            <w:vAlign w:val="center"/>
          </w:tcPr>
          <w:p w14:paraId="7F6879E4" w14:textId="7591A067" w:rsidR="1580DF43" w:rsidRDefault="1580DF43" w:rsidP="17B7465E">
            <w:r>
              <w:t>N/A</w:t>
            </w:r>
          </w:p>
        </w:tc>
        <w:tc>
          <w:tcPr>
            <w:tcW w:w="2145" w:type="dxa"/>
            <w:vAlign w:val="center"/>
          </w:tcPr>
          <w:p w14:paraId="17746F60" w14:textId="6EA1C970" w:rsidR="17B7465E" w:rsidRDefault="17B7465E" w:rsidP="17B7465E">
            <w:pPr>
              <w:spacing w:before="0" w:after="0"/>
              <w:rPr>
                <w:lang w:val="fr-FR"/>
              </w:rPr>
            </w:pPr>
            <w:r w:rsidRPr="17B7465E">
              <w:rPr>
                <w:b/>
                <w:bCs/>
                <w:lang w:val="fr-FR"/>
              </w:rPr>
              <w:t>0,50 $/t</w:t>
            </w:r>
            <w:r w:rsidRPr="17B7465E">
              <w:rPr>
                <w:lang w:val="fr-FR"/>
              </w:rPr>
              <w:t xml:space="preserve"> sur les tonnes expédiées</w:t>
            </w:r>
            <w:r w:rsidR="0DE1BB99" w:rsidRPr="17B7465E">
              <w:rPr>
                <w:lang w:val="fr-FR"/>
              </w:rPr>
              <w:t xml:space="preserve"> à payer par </w:t>
            </w:r>
            <w:proofErr w:type="spellStart"/>
            <w:r w:rsidR="0DE1BB99" w:rsidRPr="17B7465E">
              <w:rPr>
                <w:lang w:val="fr-FR"/>
              </w:rPr>
              <w:t>Simfer</w:t>
            </w:r>
            <w:proofErr w:type="spellEnd"/>
            <w:r w:rsidR="0DE1BB99" w:rsidRPr="17B7465E">
              <w:rPr>
                <w:lang w:val="fr-FR"/>
              </w:rPr>
              <w:t xml:space="preserve"> et WCS</w:t>
            </w:r>
          </w:p>
        </w:tc>
      </w:tr>
      <w:tr w:rsidR="17B7465E" w14:paraId="2CBE21BC" w14:textId="77777777" w:rsidTr="00177B08">
        <w:trPr>
          <w:trHeight w:val="298"/>
        </w:trPr>
        <w:tc>
          <w:tcPr>
            <w:tcW w:w="3239" w:type="dxa"/>
            <w:vAlign w:val="center"/>
          </w:tcPr>
          <w:p w14:paraId="39EC0B7F" w14:textId="42826A72" w:rsidR="17B7465E" w:rsidRDefault="17B7465E" w:rsidP="17B7465E">
            <w:pPr>
              <w:spacing w:before="0" w:after="0"/>
              <w:rPr>
                <w:b/>
                <w:bCs/>
                <w:lang w:val="en-US"/>
              </w:rPr>
            </w:pPr>
            <w:r w:rsidRPr="17B7465E">
              <w:rPr>
                <w:b/>
                <w:bCs/>
                <w:lang w:val="en-US"/>
              </w:rPr>
              <w:t xml:space="preserve">Contribution au </w:t>
            </w:r>
            <w:proofErr w:type="spellStart"/>
            <w:r w:rsidRPr="17B7465E">
              <w:rPr>
                <w:b/>
                <w:bCs/>
                <w:lang w:val="en-US"/>
              </w:rPr>
              <w:t>développement</w:t>
            </w:r>
            <w:proofErr w:type="spellEnd"/>
            <w:r w:rsidRPr="17B7465E">
              <w:rPr>
                <w:b/>
                <w:bCs/>
                <w:lang w:val="en-US"/>
              </w:rPr>
              <w:t xml:space="preserve"> local</w:t>
            </w:r>
          </w:p>
        </w:tc>
        <w:tc>
          <w:tcPr>
            <w:tcW w:w="2571" w:type="dxa"/>
            <w:vAlign w:val="center"/>
          </w:tcPr>
          <w:p w14:paraId="60515733" w14:textId="578A1BE2" w:rsidR="17B7465E" w:rsidRDefault="17B7465E" w:rsidP="17B7465E">
            <w:pPr>
              <w:spacing w:before="0" w:after="0"/>
            </w:pPr>
            <w:r w:rsidRPr="17B7465E">
              <w:rPr>
                <w:b/>
                <w:bCs/>
              </w:rPr>
              <w:t>0,25 %</w:t>
            </w:r>
            <w:r>
              <w:t xml:space="preserve"> du chiffre d’affaires</w:t>
            </w:r>
          </w:p>
        </w:tc>
        <w:tc>
          <w:tcPr>
            <w:tcW w:w="1874" w:type="dxa"/>
            <w:vAlign w:val="center"/>
          </w:tcPr>
          <w:p w14:paraId="45D869B3" w14:textId="7C778EFB" w:rsidR="2199629E" w:rsidRDefault="2199629E" w:rsidP="17B7465E">
            <w:r w:rsidRPr="17B7465E">
              <w:rPr>
                <w:b/>
                <w:bCs/>
              </w:rPr>
              <w:t xml:space="preserve">0,5% </w:t>
            </w:r>
            <w:r>
              <w:t>du chiffre d’affaires</w:t>
            </w:r>
          </w:p>
        </w:tc>
        <w:tc>
          <w:tcPr>
            <w:tcW w:w="2145" w:type="dxa"/>
            <w:vAlign w:val="center"/>
          </w:tcPr>
          <w:p w14:paraId="7A8CCF6C" w14:textId="157E478A" w:rsidR="17B7465E" w:rsidRDefault="17B7465E" w:rsidP="17B7465E">
            <w:pPr>
              <w:spacing w:before="0" w:after="0"/>
            </w:pPr>
            <w:r>
              <w:t>N/A</w:t>
            </w:r>
          </w:p>
        </w:tc>
      </w:tr>
      <w:tr w:rsidR="17B7465E" w:rsidRPr="00DC6E23" w14:paraId="257B1278" w14:textId="77777777" w:rsidTr="00177B08">
        <w:trPr>
          <w:trHeight w:val="298"/>
        </w:trPr>
        <w:tc>
          <w:tcPr>
            <w:tcW w:w="3239" w:type="dxa"/>
            <w:vAlign w:val="center"/>
          </w:tcPr>
          <w:p w14:paraId="3882372C" w14:textId="1BACF914" w:rsidR="17B7465E" w:rsidRPr="00DC6E23" w:rsidRDefault="17B7465E" w:rsidP="17B7465E">
            <w:pPr>
              <w:spacing w:before="0" w:after="0"/>
              <w:rPr>
                <w:b/>
                <w:bCs/>
                <w:lang w:val="fr-FR"/>
              </w:rPr>
            </w:pPr>
            <w:r w:rsidRPr="00DC6E23">
              <w:rPr>
                <w:b/>
                <w:bCs/>
                <w:lang w:val="fr-FR"/>
              </w:rPr>
              <w:t>Retenue à la source sur dividendes</w:t>
            </w:r>
          </w:p>
        </w:tc>
        <w:tc>
          <w:tcPr>
            <w:tcW w:w="2571" w:type="dxa"/>
            <w:vAlign w:val="center"/>
          </w:tcPr>
          <w:p w14:paraId="300E3ECC" w14:textId="3B733697" w:rsidR="17B7465E" w:rsidRDefault="17B7465E" w:rsidP="17B7465E">
            <w:pPr>
              <w:spacing w:before="0" w:after="0"/>
            </w:pPr>
            <w:r>
              <w:t>N/A</w:t>
            </w:r>
          </w:p>
        </w:tc>
        <w:tc>
          <w:tcPr>
            <w:tcW w:w="1874" w:type="dxa"/>
            <w:vAlign w:val="center"/>
          </w:tcPr>
          <w:p w14:paraId="5692258D" w14:textId="72EB8482" w:rsidR="3E2FE96C" w:rsidRDefault="3E2FE96C" w:rsidP="17B7465E">
            <w:r>
              <w:t>N/A</w:t>
            </w:r>
          </w:p>
        </w:tc>
        <w:tc>
          <w:tcPr>
            <w:tcW w:w="2145" w:type="dxa"/>
            <w:vAlign w:val="center"/>
          </w:tcPr>
          <w:p w14:paraId="5F986255" w14:textId="5C7F8CD5" w:rsidR="17B7465E" w:rsidRPr="00DC6E23" w:rsidRDefault="17B7465E" w:rsidP="17B7465E">
            <w:pPr>
              <w:spacing w:before="0" w:after="0"/>
              <w:rPr>
                <w:lang w:val="fr-FR"/>
              </w:rPr>
            </w:pPr>
            <w:r w:rsidRPr="00DC6E23">
              <w:rPr>
                <w:lang w:val="fr-FR"/>
              </w:rPr>
              <w:t xml:space="preserve">Années 1 à 17 : </w:t>
            </w:r>
            <w:r w:rsidRPr="00DC6E23">
              <w:rPr>
                <w:b/>
                <w:bCs/>
                <w:lang w:val="fr-FR"/>
              </w:rPr>
              <w:t>0 %</w:t>
            </w:r>
          </w:p>
          <w:p w14:paraId="726014BC" w14:textId="2814F6EE" w:rsidR="08169E63" w:rsidRPr="00DC6E23" w:rsidRDefault="50ECE76A" w:rsidP="17B7465E">
            <w:pPr>
              <w:spacing w:before="0" w:after="0"/>
              <w:rPr>
                <w:b/>
                <w:bCs/>
                <w:lang w:val="fr-FR"/>
              </w:rPr>
            </w:pPr>
            <w:r w:rsidRPr="00DC6E23">
              <w:rPr>
                <w:lang w:val="fr-FR"/>
              </w:rPr>
              <w:t xml:space="preserve">À partir de l’année 18 : </w:t>
            </w:r>
            <w:r w:rsidR="4FBB4A19" w:rsidRPr="00DC6E23">
              <w:rPr>
                <w:b/>
                <w:bCs/>
                <w:lang w:val="fr-FR"/>
              </w:rPr>
              <w:t>2</w:t>
            </w:r>
            <w:r w:rsidRPr="00DC6E23">
              <w:rPr>
                <w:b/>
                <w:bCs/>
                <w:lang w:val="fr-FR"/>
              </w:rPr>
              <w:t>5 %</w:t>
            </w:r>
          </w:p>
          <w:p w14:paraId="046FEEA6" w14:textId="7E4C85E0" w:rsidR="17B7465E" w:rsidRPr="00DC6E23" w:rsidRDefault="17B7465E" w:rsidP="17B7465E">
            <w:pPr>
              <w:spacing w:before="0" w:after="0"/>
              <w:rPr>
                <w:b/>
                <w:bCs/>
                <w:lang w:val="fr-FR"/>
              </w:rPr>
            </w:pPr>
          </w:p>
        </w:tc>
      </w:tr>
    </w:tbl>
    <w:p w14:paraId="4AA849ED" w14:textId="6BA8E4A5" w:rsidR="00F43C01" w:rsidRPr="00DC6E23" w:rsidRDefault="6159D9F2" w:rsidP="17B7465E">
      <w:pPr>
        <w:spacing w:line="259" w:lineRule="auto"/>
        <w:jc w:val="center"/>
        <w:rPr>
          <w:lang w:val="fr-FR"/>
        </w:rPr>
      </w:pPr>
      <w:hyperlink r:id="rId36">
        <w:r w:rsidRPr="00DC6E23">
          <w:rPr>
            <w:rStyle w:val="Lienhypertexte"/>
            <w:lang w:val="fr-FR"/>
          </w:rPr>
          <w:t>Source : Séminaire des investisseurs de Rio Tinto, décembre 2023</w:t>
        </w:r>
      </w:hyperlink>
    </w:p>
    <w:p w14:paraId="7FF1CBF5" w14:textId="4F158918" w:rsidR="00CC15AA" w:rsidRPr="000E0FE1" w:rsidRDefault="26548E11" w:rsidP="14AD5C78">
      <w:pPr>
        <w:numPr>
          <w:ilvl w:val="0"/>
          <w:numId w:val="5"/>
        </w:numPr>
        <w:spacing w:line="259" w:lineRule="auto"/>
        <w:jc w:val="both"/>
        <w:rPr>
          <w:lang w:val="fr-FR"/>
        </w:rPr>
      </w:pPr>
      <w:r w:rsidRPr="035BFF2E">
        <w:rPr>
          <w:b/>
          <w:bCs/>
          <w:lang w:val="fr-FR"/>
        </w:rPr>
        <w:t>Actionnariat du gouvernement guinéen :</w:t>
      </w:r>
      <w:r w:rsidRPr="035BFF2E">
        <w:rPr>
          <w:lang w:val="fr-FR"/>
        </w:rPr>
        <w:t>15%</w:t>
      </w:r>
      <w:r w:rsidR="01C9EAFB" w:rsidRPr="035BFF2E">
        <w:rPr>
          <w:lang w:val="fr-FR"/>
        </w:rPr>
        <w:t xml:space="preserve"> </w:t>
      </w:r>
      <w:r w:rsidR="2E3FD54F" w:rsidRPr="035BFF2E">
        <w:rPr>
          <w:lang w:val="fr-FR"/>
        </w:rPr>
        <w:t>d’</w:t>
      </w:r>
      <w:r w:rsidR="49BDCE46" w:rsidRPr="035BFF2E">
        <w:rPr>
          <w:lang w:val="fr-FR"/>
        </w:rPr>
        <w:t>actions</w:t>
      </w:r>
      <w:r w:rsidR="37A22C92" w:rsidRPr="035BFF2E">
        <w:rPr>
          <w:lang w:val="fr-FR"/>
        </w:rPr>
        <w:t xml:space="preserve"> à titre</w:t>
      </w:r>
      <w:r w:rsidR="49BDCE46" w:rsidRPr="035BFF2E">
        <w:rPr>
          <w:lang w:val="fr-FR"/>
        </w:rPr>
        <w:t xml:space="preserve"> </w:t>
      </w:r>
      <w:r w:rsidR="4FA3954B" w:rsidRPr="035BFF2E">
        <w:rPr>
          <w:lang w:val="fr-FR"/>
        </w:rPr>
        <w:t xml:space="preserve">gratuit </w:t>
      </w:r>
      <w:r w:rsidR="5F8E7B61" w:rsidRPr="035BFF2E">
        <w:rPr>
          <w:lang w:val="fr-FR"/>
        </w:rPr>
        <w:t>dans les trois entités (CTG</w:t>
      </w:r>
      <w:r w:rsidR="6B21C31F" w:rsidRPr="035BFF2E">
        <w:rPr>
          <w:lang w:val="fr-FR"/>
        </w:rPr>
        <w:t>-</w:t>
      </w:r>
      <w:r w:rsidR="5F8E7B61" w:rsidRPr="035BFF2E">
        <w:rPr>
          <w:lang w:val="fr-FR"/>
        </w:rPr>
        <w:t xml:space="preserve">composante ferroviaire et portuaire, mine de </w:t>
      </w:r>
      <w:proofErr w:type="spellStart"/>
      <w:r w:rsidR="5F8E7B61" w:rsidRPr="035BFF2E">
        <w:rPr>
          <w:lang w:val="fr-FR"/>
        </w:rPr>
        <w:t>Simfer</w:t>
      </w:r>
      <w:proofErr w:type="spellEnd"/>
      <w:r w:rsidR="5F8E7B61" w:rsidRPr="035BFF2E">
        <w:rPr>
          <w:lang w:val="fr-FR"/>
        </w:rPr>
        <w:t>, mine de WCS).</w:t>
      </w:r>
      <w:r w:rsidR="5F57B2FE" w:rsidRPr="035BFF2E">
        <w:rPr>
          <w:lang w:val="fr-FR"/>
        </w:rPr>
        <w:t xml:space="preserve"> </w:t>
      </w:r>
      <w:r w:rsidR="4F4BC93D" w:rsidRPr="035BFF2E">
        <w:rPr>
          <w:lang w:val="fr-FR"/>
        </w:rPr>
        <w:t>Cependant, l</w:t>
      </w:r>
      <w:r w:rsidR="7F310671" w:rsidRPr="035BFF2E">
        <w:rPr>
          <w:lang w:val="fr-FR"/>
        </w:rPr>
        <w:t>e mécanisme de</w:t>
      </w:r>
      <w:r w:rsidR="4F4BC93D" w:rsidRPr="035BFF2E">
        <w:rPr>
          <w:lang w:val="fr-FR"/>
        </w:rPr>
        <w:t xml:space="preserve"> répartition des dividendes n’étant </w:t>
      </w:r>
      <w:r w:rsidR="1D9EF34A" w:rsidRPr="035BFF2E">
        <w:rPr>
          <w:lang w:val="fr-FR"/>
        </w:rPr>
        <w:t>pas précisé</w:t>
      </w:r>
      <w:r w:rsidR="4F4BC93D" w:rsidRPr="035BFF2E">
        <w:rPr>
          <w:lang w:val="fr-FR"/>
        </w:rPr>
        <w:t>, ces recettes éventuelles n’ont pas été prises en co</w:t>
      </w:r>
      <w:r w:rsidR="72C40332" w:rsidRPr="035BFF2E">
        <w:rPr>
          <w:lang w:val="fr-FR"/>
        </w:rPr>
        <w:t>mpte dans le modèle pour l’Etat.</w:t>
      </w:r>
    </w:p>
    <w:p w14:paraId="6D5FD762" w14:textId="7EFB737C" w:rsidR="00634ADE" w:rsidRDefault="26548E11" w:rsidP="17B7465E">
      <w:pPr>
        <w:numPr>
          <w:ilvl w:val="0"/>
          <w:numId w:val="5"/>
        </w:numPr>
        <w:spacing w:line="259" w:lineRule="auto"/>
        <w:jc w:val="both"/>
        <w:rPr>
          <w:lang w:val="fr-FR"/>
        </w:rPr>
      </w:pPr>
      <w:r w:rsidRPr="035BFF2E">
        <w:rPr>
          <w:b/>
          <w:bCs/>
          <w:lang w:val="fr-FR"/>
        </w:rPr>
        <w:t>Dépenses d'investissement (Capex</w:t>
      </w:r>
      <w:r w:rsidR="5B2660E7" w:rsidRPr="035BFF2E">
        <w:rPr>
          <w:b/>
          <w:bCs/>
          <w:lang w:val="fr-FR"/>
        </w:rPr>
        <w:t xml:space="preserve">) : </w:t>
      </w:r>
      <w:r w:rsidRPr="035BFF2E">
        <w:rPr>
          <w:lang w:val="fr-FR"/>
        </w:rPr>
        <w:t>U</w:t>
      </w:r>
      <w:r w:rsidR="5235C21A" w:rsidRPr="035BFF2E">
        <w:rPr>
          <w:lang w:val="fr-FR"/>
        </w:rPr>
        <w:t xml:space="preserve">n </w:t>
      </w:r>
      <w:hyperlink r:id="rId37">
        <w:r w:rsidR="58C5E264" w:rsidRPr="035BFF2E">
          <w:rPr>
            <w:rStyle w:val="Lienhypertexte"/>
            <w:lang w:val="fr-FR"/>
          </w:rPr>
          <w:t>communiqué publié par Rio Tinto</w:t>
        </w:r>
      </w:hyperlink>
      <w:r w:rsidR="2EFDEEE9" w:rsidRPr="035BFF2E">
        <w:rPr>
          <w:lang w:val="fr-FR"/>
        </w:rPr>
        <w:t xml:space="preserve"> a donné </w:t>
      </w:r>
      <w:r w:rsidR="1DC4A15E" w:rsidRPr="035BFF2E">
        <w:rPr>
          <w:b/>
          <w:bCs/>
          <w:lang w:val="fr-FR"/>
        </w:rPr>
        <w:t>l</w:t>
      </w:r>
      <w:r w:rsidR="58C5E264" w:rsidRPr="035BFF2E">
        <w:rPr>
          <w:lang w:val="fr-FR"/>
        </w:rPr>
        <w:t xml:space="preserve">es estimations des dépenses d'investissement totales pour le développement </w:t>
      </w:r>
      <w:r w:rsidR="399E6A5D" w:rsidRPr="035BFF2E">
        <w:rPr>
          <w:lang w:val="fr-FR"/>
        </w:rPr>
        <w:t>par</w:t>
      </w:r>
      <w:r w:rsidR="58C5E264" w:rsidRPr="035BFF2E">
        <w:rPr>
          <w:lang w:val="fr-FR"/>
        </w:rPr>
        <w:t xml:space="preserve"> </w:t>
      </w:r>
      <w:proofErr w:type="spellStart"/>
      <w:r w:rsidR="58C5E264" w:rsidRPr="035BFF2E">
        <w:rPr>
          <w:lang w:val="fr-FR"/>
        </w:rPr>
        <w:t>Simfer</w:t>
      </w:r>
      <w:proofErr w:type="spellEnd"/>
      <w:r w:rsidR="543D9025" w:rsidRPr="035BFF2E">
        <w:rPr>
          <w:lang w:val="fr-FR"/>
        </w:rPr>
        <w:t>.</w:t>
      </w:r>
      <w:r w:rsidR="58C5E264" w:rsidRPr="035BFF2E">
        <w:rPr>
          <w:lang w:val="fr-FR"/>
        </w:rPr>
        <w:t xml:space="preserve"> </w:t>
      </w:r>
      <w:r w:rsidR="03BC56F6" w:rsidRPr="035BFF2E">
        <w:rPr>
          <w:lang w:val="fr-FR"/>
        </w:rPr>
        <w:t>Lesdites dépenses</w:t>
      </w:r>
      <w:r w:rsidR="4014D103" w:rsidRPr="035BFF2E">
        <w:rPr>
          <w:lang w:val="fr-FR"/>
        </w:rPr>
        <w:t xml:space="preserve"> d’investissement</w:t>
      </w:r>
      <w:r w:rsidR="03BC56F6" w:rsidRPr="035BFF2E">
        <w:rPr>
          <w:lang w:val="fr-FR"/>
        </w:rPr>
        <w:t xml:space="preserve"> s</w:t>
      </w:r>
      <w:r w:rsidR="58C5E264" w:rsidRPr="035BFF2E">
        <w:rPr>
          <w:lang w:val="fr-FR"/>
        </w:rPr>
        <w:t xml:space="preserve">'élèvent à 11,6 milliards de dollars. Selon la même source, des calculs rétrospectifs des dépenses d'investissement totales à la charge de Rio Tinto </w:t>
      </w:r>
      <w:proofErr w:type="spellStart"/>
      <w:r w:rsidR="58C5E264" w:rsidRPr="035BFF2E">
        <w:rPr>
          <w:lang w:val="fr-FR"/>
        </w:rPr>
        <w:t>Simfer</w:t>
      </w:r>
      <w:proofErr w:type="spellEnd"/>
      <w:r w:rsidR="58C5E264" w:rsidRPr="035BFF2E">
        <w:rPr>
          <w:lang w:val="fr-FR"/>
        </w:rPr>
        <w:t xml:space="preserve"> et de WCS font état d'un montant de 23 milliards de dollars.</w:t>
      </w:r>
    </w:p>
    <w:p w14:paraId="57B6D4D1" w14:textId="252606D8" w:rsidR="001A5568" w:rsidRPr="002F1CE3" w:rsidRDefault="2440D25B" w:rsidP="17B7465E">
      <w:pPr>
        <w:spacing w:line="259" w:lineRule="auto"/>
        <w:ind w:left="720"/>
        <w:jc w:val="both"/>
        <w:rPr>
          <w:lang w:val="fr-FR"/>
        </w:rPr>
      </w:pPr>
      <w:r w:rsidRPr="17B7465E">
        <w:rPr>
          <w:lang w:val="fr-FR"/>
        </w:rPr>
        <w:lastRenderedPageBreak/>
        <w:t xml:space="preserve">La capacité d'infrastructure développée conjointement et les coûts associés seront partagés à parts égales entre </w:t>
      </w:r>
      <w:proofErr w:type="spellStart"/>
      <w:r w:rsidRPr="17B7465E">
        <w:rPr>
          <w:lang w:val="fr-FR"/>
        </w:rPr>
        <w:t>Simfer</w:t>
      </w:r>
      <w:proofErr w:type="spellEnd"/>
      <w:r w:rsidRPr="17B7465E">
        <w:rPr>
          <w:lang w:val="fr-FR"/>
        </w:rPr>
        <w:t xml:space="preserve">, qui développera, possédera et exploitera une mine d'une capacité de 60 millions de tonnes par an dans les blocs 3 et 4 du projet </w:t>
      </w:r>
      <w:proofErr w:type="spellStart"/>
      <w:r w:rsidRPr="17B7465E">
        <w:rPr>
          <w:lang w:val="fr-FR"/>
        </w:rPr>
        <w:t>Simandou</w:t>
      </w:r>
      <w:proofErr w:type="spellEnd"/>
      <w:r w:rsidRPr="17B7465E">
        <w:rPr>
          <w:lang w:val="fr-FR"/>
        </w:rPr>
        <w:t xml:space="preserve">, et WCS, qui développe les blocs 1 et 2. Les coûts miniers (5,1 milliards de dollars) sont entièrement imputables à </w:t>
      </w:r>
      <w:hyperlink r:id="rId38" w:history="1">
        <w:r w:rsidR="53C2216B" w:rsidRPr="17B7465E">
          <w:rPr>
            <w:rStyle w:val="Lienhypertexte"/>
            <w:lang w:val="fr-FR"/>
          </w:rPr>
          <w:t xml:space="preserve">Rio Tinto </w:t>
        </w:r>
        <w:proofErr w:type="spellStart"/>
        <w:r w:rsidRPr="17B7465E">
          <w:rPr>
            <w:rStyle w:val="Lienhypertexte"/>
            <w:lang w:val="fr-FR"/>
          </w:rPr>
          <w:t>Simfer</w:t>
        </w:r>
        <w:proofErr w:type="spellEnd"/>
      </w:hyperlink>
      <w:r w:rsidRPr="17B7465E">
        <w:rPr>
          <w:lang w:val="fr-FR"/>
        </w:rPr>
        <w:t>.</w:t>
      </w:r>
      <w:r w:rsidR="5D549E2D" w:rsidRPr="17B7465E">
        <w:rPr>
          <w:lang w:val="fr-FR"/>
        </w:rPr>
        <w:t xml:space="preserve"> </w:t>
      </w:r>
      <w:r w:rsidR="5154DEB9" w:rsidRPr="17B7465E">
        <w:rPr>
          <w:lang w:val="fr-FR"/>
        </w:rPr>
        <w:t>Le même montant a été pris en compte pour les coûts de la mine WCS. Ainsi, les dépenses d'investissement totales pour les deux mines sont estimées à 10,2 milliards de dollars.</w:t>
      </w:r>
    </w:p>
    <w:p w14:paraId="10546519" w14:textId="17CB65DA" w:rsidR="001A5568" w:rsidRPr="00DC6E23" w:rsidRDefault="001A5568" w:rsidP="002F1CE3">
      <w:pPr>
        <w:numPr>
          <w:ilvl w:val="0"/>
          <w:numId w:val="5"/>
        </w:numPr>
        <w:spacing w:line="259" w:lineRule="auto"/>
        <w:jc w:val="both"/>
        <w:rPr>
          <w:lang w:val="fr-FR"/>
        </w:rPr>
      </w:pPr>
      <w:r w:rsidRPr="00DC6E23">
        <w:rPr>
          <w:lang w:val="fr-FR"/>
        </w:rPr>
        <w:t xml:space="preserve">Dans le cadre de cet accord de co-développement, </w:t>
      </w:r>
      <w:proofErr w:type="spellStart"/>
      <w:r w:rsidRPr="00DC6E23">
        <w:rPr>
          <w:lang w:val="fr-FR"/>
        </w:rPr>
        <w:t>Simfer</w:t>
      </w:r>
      <w:proofErr w:type="spellEnd"/>
      <w:r w:rsidRPr="00DC6E23">
        <w:rPr>
          <w:lang w:val="fr-FR"/>
        </w:rPr>
        <w:t xml:space="preserve"> et WCS réaliseront des projets d'infrastructure distincts afin de tirer parti de leurs expertises respectives. </w:t>
      </w:r>
      <w:proofErr w:type="spellStart"/>
      <w:r w:rsidRPr="00DC6E23">
        <w:rPr>
          <w:lang w:val="fr-FR"/>
        </w:rPr>
        <w:t>Simfer</w:t>
      </w:r>
      <w:proofErr w:type="spellEnd"/>
      <w:r w:rsidRPr="00DC6E23">
        <w:rPr>
          <w:lang w:val="fr-FR"/>
        </w:rPr>
        <w:t xml:space="preserve"> construira la ligne ferroviaire de raccordement </w:t>
      </w:r>
      <w:proofErr w:type="spellStart"/>
      <w:r w:rsidRPr="00DC6E23">
        <w:rPr>
          <w:lang w:val="fr-FR"/>
        </w:rPr>
        <w:t>Simfer</w:t>
      </w:r>
      <w:proofErr w:type="spellEnd"/>
      <w:r w:rsidRPr="00DC6E23">
        <w:rPr>
          <w:lang w:val="fr-FR"/>
        </w:rPr>
        <w:t xml:space="preserve"> d'environ 70 kilomètres et un terminal de transbordement de navires (TSV) d'une capacité de 60 millions de tonnes par an, tandis que WCS construira la ligne ferroviaire principale à double voie d'environ 536 kilomètres, la ligne ferroviaire de raccordement WCS d'environ 16 kilomètres et un terminal de barges d'une capacité de 60 millions de tonnes par an.</w:t>
      </w:r>
    </w:p>
    <w:p w14:paraId="39C68A0D" w14:textId="350F4752" w:rsidR="009854BA" w:rsidRDefault="169502C3" w:rsidP="17B7465E">
      <w:pPr>
        <w:numPr>
          <w:ilvl w:val="0"/>
          <w:numId w:val="5"/>
        </w:numPr>
        <w:spacing w:line="259" w:lineRule="auto"/>
        <w:jc w:val="both"/>
        <w:rPr>
          <w:lang w:val="fr-FR"/>
        </w:rPr>
      </w:pPr>
      <w:r w:rsidRPr="17B7465E">
        <w:rPr>
          <w:lang w:val="fr-FR"/>
        </w:rPr>
        <w:t>T</w:t>
      </w:r>
      <w:r w:rsidR="2440D25B" w:rsidRPr="17B7465E">
        <w:rPr>
          <w:lang w:val="fr-FR"/>
        </w:rPr>
        <w:t xml:space="preserve">outes les infrastructures et le matériel roulant </w:t>
      </w:r>
      <w:proofErr w:type="spellStart"/>
      <w:r w:rsidR="2440D25B" w:rsidRPr="17B7465E">
        <w:rPr>
          <w:lang w:val="fr-FR"/>
        </w:rPr>
        <w:t>co-développés</w:t>
      </w:r>
      <w:proofErr w:type="spellEnd"/>
      <w:r w:rsidR="2440D25B" w:rsidRPr="17B7465E">
        <w:rPr>
          <w:lang w:val="fr-FR"/>
        </w:rPr>
        <w:t xml:space="preserve"> seront transférés et exploités par la coentreprise Compagnie du </w:t>
      </w:r>
      <w:proofErr w:type="spellStart"/>
      <w:r w:rsidR="2440D25B" w:rsidRPr="17B7465E">
        <w:rPr>
          <w:lang w:val="fr-FR"/>
        </w:rPr>
        <w:t>Transguinéen</w:t>
      </w:r>
      <w:proofErr w:type="spellEnd"/>
      <w:r w:rsidR="2440D25B" w:rsidRPr="17B7465E">
        <w:rPr>
          <w:lang w:val="fr-FR"/>
        </w:rPr>
        <w:t xml:space="preserve"> (CTG), dans laquelle </w:t>
      </w:r>
      <w:proofErr w:type="spellStart"/>
      <w:r w:rsidR="2440D25B" w:rsidRPr="17B7465E">
        <w:rPr>
          <w:lang w:val="fr-FR"/>
        </w:rPr>
        <w:t>Simfer</w:t>
      </w:r>
      <w:proofErr w:type="spellEnd"/>
      <w:r w:rsidR="2440D25B" w:rsidRPr="17B7465E">
        <w:rPr>
          <w:lang w:val="fr-FR"/>
        </w:rPr>
        <w:t xml:space="preserve"> et WCS détiennent chacun une participation de 42,5 % et l'État guinéen une participation de 15 %.</w:t>
      </w:r>
    </w:p>
    <w:p w14:paraId="536A40DF" w14:textId="1D59BD1B" w:rsidR="001117E2" w:rsidRPr="00DC6E23" w:rsidRDefault="001117E2" w:rsidP="001117E2">
      <w:pPr>
        <w:numPr>
          <w:ilvl w:val="0"/>
          <w:numId w:val="5"/>
        </w:numPr>
        <w:spacing w:line="259" w:lineRule="auto"/>
        <w:jc w:val="both"/>
        <w:rPr>
          <w:lang w:val="fr-FR"/>
        </w:rPr>
      </w:pPr>
      <w:r w:rsidRPr="00DC6E23">
        <w:rPr>
          <w:lang w:val="fr-FR"/>
        </w:rPr>
        <w:t xml:space="preserve">Les coûts du lot d'infrastructures (environ 552 km de système ferroviaire </w:t>
      </w:r>
      <w:proofErr w:type="spellStart"/>
      <w:r w:rsidRPr="00DC6E23">
        <w:rPr>
          <w:lang w:val="fr-FR"/>
        </w:rPr>
        <w:t>transguinéen</w:t>
      </w:r>
      <w:proofErr w:type="spellEnd"/>
      <w:r w:rsidRPr="00DC6E23">
        <w:rPr>
          <w:lang w:val="fr-FR"/>
        </w:rPr>
        <w:t xml:space="preserve"> pour le transport de charges lourdes, ligne principale, ligne secondaire, port de barges) sont partagés entre </w:t>
      </w:r>
      <w:proofErr w:type="spellStart"/>
      <w:r w:rsidRPr="00DC6E23">
        <w:rPr>
          <w:lang w:val="fr-FR"/>
        </w:rPr>
        <w:t>Simfer</w:t>
      </w:r>
      <w:proofErr w:type="spellEnd"/>
      <w:r w:rsidRPr="00DC6E23">
        <w:rPr>
          <w:lang w:val="fr-FR"/>
        </w:rPr>
        <w:t xml:space="preserve"> et WCS - la part de WCS est d'environ 66 % (≈ 5,8 milliards de dollars) et celle de Rio Tinto </w:t>
      </w:r>
      <w:proofErr w:type="spellStart"/>
      <w:r w:rsidRPr="00DC6E23">
        <w:rPr>
          <w:lang w:val="fr-FR"/>
        </w:rPr>
        <w:t>Simfer</w:t>
      </w:r>
      <w:proofErr w:type="spellEnd"/>
      <w:r w:rsidRPr="00DC6E23">
        <w:rPr>
          <w:lang w:val="fr-FR"/>
        </w:rPr>
        <w:t xml:space="preserve"> de 34 % est de 3 milliards de dollars.</w:t>
      </w:r>
    </w:p>
    <w:p w14:paraId="49D4C346" w14:textId="545A0BD3" w:rsidR="00CC15AA" w:rsidRPr="00DC6E23" w:rsidRDefault="006C652C" w:rsidP="00F16A3F">
      <w:pPr>
        <w:spacing w:line="259" w:lineRule="auto"/>
        <w:ind w:left="720"/>
        <w:jc w:val="center"/>
        <w:rPr>
          <w:b/>
          <w:bCs/>
          <w:lang w:val="fr-FR"/>
        </w:rPr>
      </w:pPr>
      <w:r w:rsidRPr="00DC6E23">
        <w:rPr>
          <w:b/>
          <w:bCs/>
          <w:lang w:val="fr-FR"/>
        </w:rPr>
        <w:t xml:space="preserve">Tableau </w:t>
      </w:r>
      <w:r w:rsidR="009B0E6D">
        <w:rPr>
          <w:b/>
          <w:bCs/>
          <w:lang w:val="fr-FR"/>
        </w:rPr>
        <w:t>2</w:t>
      </w:r>
      <w:r w:rsidRPr="00DC6E23">
        <w:rPr>
          <w:b/>
          <w:bCs/>
          <w:lang w:val="fr-FR"/>
        </w:rPr>
        <w:t xml:space="preserve"> : Résumé des CAPEX du projet (voir les données d'entrée de </w:t>
      </w:r>
      <w:proofErr w:type="spellStart"/>
      <w:r w:rsidRPr="00DC6E23">
        <w:rPr>
          <w:b/>
          <w:bCs/>
          <w:lang w:val="fr-FR"/>
        </w:rPr>
        <w:t>Simandou</w:t>
      </w:r>
      <w:proofErr w:type="spellEnd"/>
      <w:r w:rsidRPr="00DC6E23">
        <w:rPr>
          <w:b/>
          <w:bCs/>
          <w:lang w:val="fr-FR"/>
        </w:rPr>
        <w:t xml:space="preserve"> dans le modèle)</w:t>
      </w:r>
    </w:p>
    <w:tbl>
      <w:tblPr>
        <w:tblStyle w:val="TableauGrille5Fonc-Accentuation3"/>
        <w:tblW w:w="9667" w:type="dxa"/>
        <w:tblLook w:val="04A0" w:firstRow="1" w:lastRow="0" w:firstColumn="1" w:lastColumn="0" w:noHBand="0" w:noVBand="1"/>
      </w:tblPr>
      <w:tblGrid>
        <w:gridCol w:w="3565"/>
        <w:gridCol w:w="1727"/>
        <w:gridCol w:w="1435"/>
        <w:gridCol w:w="2047"/>
        <w:gridCol w:w="893"/>
      </w:tblGrid>
      <w:tr w:rsidR="00AA5610" w:rsidRPr="00B97EF9" w14:paraId="5F3A2D2E" w14:textId="77777777" w:rsidTr="008B604D">
        <w:trPr>
          <w:cnfStyle w:val="100000000000" w:firstRow="1" w:lastRow="0" w:firstColumn="0" w:lastColumn="0" w:oddVBand="0" w:evenVBand="0" w:oddHBand="0" w:evenHBand="0" w:firstRowFirstColumn="0" w:firstRowLastColumn="0" w:lastRowFirstColumn="0" w:lastRowLastColumn="0"/>
          <w:trHeight w:val="323"/>
          <w:tblHeader/>
        </w:trPr>
        <w:tc>
          <w:tcPr>
            <w:cnfStyle w:val="001000000000" w:firstRow="0" w:lastRow="0" w:firstColumn="1" w:lastColumn="0" w:oddVBand="0" w:evenVBand="0" w:oddHBand="0" w:evenHBand="0" w:firstRowFirstColumn="0" w:firstRowLastColumn="0" w:lastRowFirstColumn="0" w:lastRowLastColumn="0"/>
            <w:tcW w:w="3565" w:type="dxa"/>
            <w:hideMark/>
          </w:tcPr>
          <w:p w14:paraId="07AEAAB5" w14:textId="77777777" w:rsidR="00E50196" w:rsidRPr="00DC6E23" w:rsidRDefault="00E50196" w:rsidP="17B7465E">
            <w:pPr>
              <w:spacing w:before="0" w:after="0"/>
              <w:ind w:firstLineChars="100" w:firstLine="221"/>
              <w:rPr>
                <w:rFonts w:eastAsia="Times New Roman"/>
                <w:color w:val="000000"/>
                <w:szCs w:val="22"/>
                <w:lang w:val="fr-FR" w:eastAsia="nb-NO"/>
              </w:rPr>
            </w:pPr>
          </w:p>
        </w:tc>
        <w:tc>
          <w:tcPr>
            <w:tcW w:w="1727" w:type="dxa"/>
            <w:vMerge w:val="restart"/>
            <w:hideMark/>
          </w:tcPr>
          <w:p w14:paraId="52D799F3" w14:textId="6442AE00" w:rsidR="00E50196" w:rsidRPr="00B97EF9" w:rsidRDefault="3516C27A" w:rsidP="17B7465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Cs w:val="22"/>
                <w:lang w:val="nb-NO" w:eastAsia="nb-NO"/>
              </w:rPr>
            </w:pPr>
            <w:proofErr w:type="spellStart"/>
            <w:r w:rsidRPr="17B7465E">
              <w:rPr>
                <w:rFonts w:eastAsia="Times New Roman"/>
                <w:color w:val="000000" w:themeColor="text1"/>
                <w:szCs w:val="22"/>
                <w:lang w:val="nb-NO" w:eastAsia="nb-NO"/>
              </w:rPr>
              <w:t>Investissements</w:t>
            </w:r>
            <w:proofErr w:type="spellEnd"/>
            <w:r w:rsidRPr="17B7465E">
              <w:rPr>
                <w:rFonts w:eastAsia="Times New Roman"/>
                <w:color w:val="000000" w:themeColor="text1"/>
                <w:szCs w:val="22"/>
                <w:lang w:val="nb-NO" w:eastAsia="nb-NO"/>
              </w:rPr>
              <w:t xml:space="preserve"> </w:t>
            </w:r>
            <w:proofErr w:type="spellStart"/>
            <w:r w:rsidRPr="17B7465E">
              <w:rPr>
                <w:rFonts w:eastAsia="Times New Roman"/>
                <w:color w:val="000000" w:themeColor="text1"/>
                <w:szCs w:val="22"/>
                <w:lang w:val="nb-NO" w:eastAsia="nb-NO"/>
              </w:rPr>
              <w:t>Simfer</w:t>
            </w:r>
            <w:proofErr w:type="spellEnd"/>
          </w:p>
        </w:tc>
        <w:tc>
          <w:tcPr>
            <w:tcW w:w="1435" w:type="dxa"/>
            <w:vMerge w:val="restart"/>
            <w:noWrap/>
            <w:hideMark/>
          </w:tcPr>
          <w:p w14:paraId="3439ED76" w14:textId="53A24155" w:rsidR="00E50196" w:rsidRPr="00F40CCB" w:rsidRDefault="00F40CCB" w:rsidP="17B7465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Cs w:val="22"/>
                <w:lang w:val="fr-FR" w:eastAsia="nb-NO"/>
              </w:rPr>
            </w:pPr>
            <w:r w:rsidRPr="00F40CCB">
              <w:rPr>
                <w:rFonts w:eastAsia="Times New Roman"/>
                <w:color w:val="000000" w:themeColor="text1"/>
                <w:szCs w:val="22"/>
                <w:lang w:val="fr-FR" w:eastAsia="nb-NO"/>
              </w:rPr>
              <w:t xml:space="preserve">Part couverte </w:t>
            </w:r>
            <w:r>
              <w:rPr>
                <w:rFonts w:eastAsia="Times New Roman"/>
                <w:color w:val="000000" w:themeColor="text1"/>
                <w:szCs w:val="22"/>
                <w:lang w:val="fr-FR" w:eastAsia="nb-NO"/>
              </w:rPr>
              <w:t xml:space="preserve">par </w:t>
            </w:r>
            <w:r w:rsidR="3516C27A" w:rsidRPr="00F40CCB">
              <w:rPr>
                <w:rFonts w:eastAsia="Times New Roman"/>
                <w:color w:val="000000" w:themeColor="text1"/>
                <w:szCs w:val="22"/>
                <w:lang w:val="fr-FR" w:eastAsia="nb-NO"/>
              </w:rPr>
              <w:t>Rio Tinto</w:t>
            </w:r>
          </w:p>
        </w:tc>
        <w:tc>
          <w:tcPr>
            <w:tcW w:w="2047" w:type="dxa"/>
            <w:vMerge w:val="restart"/>
            <w:noWrap/>
            <w:hideMark/>
          </w:tcPr>
          <w:p w14:paraId="2D57927F" w14:textId="77777777" w:rsidR="00E50196" w:rsidRPr="00B97EF9" w:rsidRDefault="3516C27A" w:rsidP="17B7465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Cs w:val="22"/>
                <w:lang w:val="nb-NO" w:eastAsia="nb-NO"/>
              </w:rPr>
            </w:pPr>
            <w:r w:rsidRPr="17B7465E">
              <w:rPr>
                <w:rFonts w:eastAsia="Times New Roman"/>
                <w:color w:val="000000" w:themeColor="text1"/>
                <w:szCs w:val="22"/>
                <w:lang w:val="nb-NO" w:eastAsia="nb-NO"/>
              </w:rPr>
              <w:t>DÉPENSES D'INVESTISSEMENT WCS*</w:t>
            </w:r>
          </w:p>
        </w:tc>
        <w:tc>
          <w:tcPr>
            <w:tcW w:w="893" w:type="dxa"/>
            <w:vMerge w:val="restart"/>
            <w:noWrap/>
            <w:hideMark/>
          </w:tcPr>
          <w:p w14:paraId="139BE8AF" w14:textId="77777777" w:rsidR="00E50196" w:rsidRPr="00B97EF9" w:rsidRDefault="3516C27A" w:rsidP="17B7465E">
            <w:pPr>
              <w:spacing w:before="0" w:after="0"/>
              <w:jc w:val="center"/>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Cs w:val="22"/>
                <w:lang w:val="nb-NO" w:eastAsia="nb-NO"/>
              </w:rPr>
            </w:pPr>
            <w:r w:rsidRPr="17B7465E">
              <w:rPr>
                <w:rFonts w:eastAsia="Times New Roman"/>
                <w:color w:val="000000" w:themeColor="text1"/>
                <w:szCs w:val="22"/>
                <w:lang w:val="nb-NO" w:eastAsia="nb-NO"/>
              </w:rPr>
              <w:t>TOTAL</w:t>
            </w:r>
          </w:p>
        </w:tc>
      </w:tr>
      <w:tr w:rsidR="00651ABF" w:rsidRPr="00DC6E23" w14:paraId="6BE9D9CA" w14:textId="77777777" w:rsidTr="008B604D">
        <w:trPr>
          <w:cnfStyle w:val="100000000000" w:firstRow="1" w:lastRow="0" w:firstColumn="0" w:lastColumn="0" w:oddVBand="0" w:evenVBand="0" w:oddHBand="0" w:evenHBand="0" w:firstRowFirstColumn="0" w:firstRowLastColumn="0" w:lastRowFirstColumn="0" w:lastRowLastColumn="0"/>
          <w:trHeight w:val="334"/>
          <w:tblHeader/>
        </w:trPr>
        <w:tc>
          <w:tcPr>
            <w:cnfStyle w:val="001000000000" w:firstRow="0" w:lastRow="0" w:firstColumn="1" w:lastColumn="0" w:oddVBand="0" w:evenVBand="0" w:oddHBand="0" w:evenHBand="0" w:firstRowFirstColumn="0" w:firstRowLastColumn="0" w:lastRowFirstColumn="0" w:lastRowLastColumn="0"/>
            <w:tcW w:w="3565" w:type="dxa"/>
            <w:hideMark/>
          </w:tcPr>
          <w:p w14:paraId="55E432F9" w14:textId="69FA88C1" w:rsidR="00E50196" w:rsidRPr="00B97EF9" w:rsidRDefault="3516C27A" w:rsidP="17B7465E">
            <w:pPr>
              <w:spacing w:before="0" w:after="0"/>
              <w:ind w:firstLineChars="100" w:firstLine="221"/>
              <w:rPr>
                <w:rFonts w:eastAsia="Times New Roman"/>
                <w:b w:val="0"/>
                <w:bCs w:val="0"/>
                <w:color w:val="000000"/>
                <w:szCs w:val="22"/>
                <w:lang w:val="fr-FR" w:eastAsia="nb-NO"/>
              </w:rPr>
            </w:pPr>
            <w:proofErr w:type="gramStart"/>
            <w:r w:rsidRPr="17B7465E">
              <w:rPr>
                <w:rFonts w:eastAsia="Times New Roman"/>
                <w:color w:val="000000" w:themeColor="text1"/>
                <w:szCs w:val="22"/>
                <w:lang w:val="fr-FR" w:eastAsia="nb-NO"/>
              </w:rPr>
              <w:t>en</w:t>
            </w:r>
            <w:proofErr w:type="gramEnd"/>
            <w:r w:rsidRPr="17B7465E">
              <w:rPr>
                <w:rFonts w:eastAsia="Times New Roman"/>
                <w:color w:val="000000" w:themeColor="text1"/>
                <w:szCs w:val="22"/>
                <w:lang w:val="fr-FR" w:eastAsia="nb-NO"/>
              </w:rPr>
              <w:t xml:space="preserve"> milliards</w:t>
            </w:r>
            <w:r w:rsidR="6F9F6930" w:rsidRPr="17B7465E">
              <w:rPr>
                <w:rFonts w:eastAsia="Times New Roman"/>
                <w:color w:val="000000" w:themeColor="text1"/>
                <w:szCs w:val="22"/>
                <w:lang w:val="fr-FR" w:eastAsia="nb-NO"/>
              </w:rPr>
              <w:t xml:space="preserve"> de dollars américains</w:t>
            </w:r>
            <w:r w:rsidRPr="17B7465E">
              <w:rPr>
                <w:rFonts w:eastAsia="Times New Roman"/>
                <w:color w:val="000000" w:themeColor="text1"/>
                <w:szCs w:val="22"/>
                <w:lang w:val="fr-FR" w:eastAsia="nb-NO"/>
              </w:rPr>
              <w:t xml:space="preserve"> (valeur nominale)</w:t>
            </w:r>
          </w:p>
        </w:tc>
        <w:tc>
          <w:tcPr>
            <w:tcW w:w="1727" w:type="dxa"/>
            <w:vMerge/>
            <w:hideMark/>
          </w:tcPr>
          <w:p w14:paraId="2E845E90" w14:textId="77777777" w:rsidR="00E50196" w:rsidRPr="00DC6E23" w:rsidRDefault="00E50196" w:rsidP="00E50196">
            <w:p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val="fr-FR" w:eastAsia="nb-NO"/>
              </w:rPr>
            </w:pPr>
          </w:p>
        </w:tc>
        <w:tc>
          <w:tcPr>
            <w:tcW w:w="1435" w:type="dxa"/>
            <w:vMerge/>
            <w:hideMark/>
          </w:tcPr>
          <w:p w14:paraId="272C8791" w14:textId="77777777" w:rsidR="00E50196" w:rsidRPr="00DC6E23" w:rsidRDefault="00E50196" w:rsidP="00E50196">
            <w:p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val="fr-FR" w:eastAsia="nb-NO"/>
              </w:rPr>
            </w:pPr>
          </w:p>
        </w:tc>
        <w:tc>
          <w:tcPr>
            <w:tcW w:w="2047" w:type="dxa"/>
            <w:vMerge/>
            <w:hideMark/>
          </w:tcPr>
          <w:p w14:paraId="72598390" w14:textId="77777777" w:rsidR="00E50196" w:rsidRPr="00DC6E23" w:rsidRDefault="00E50196" w:rsidP="00E50196">
            <w:p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val="fr-FR" w:eastAsia="nb-NO"/>
              </w:rPr>
            </w:pPr>
          </w:p>
        </w:tc>
        <w:tc>
          <w:tcPr>
            <w:tcW w:w="893" w:type="dxa"/>
            <w:vMerge/>
            <w:hideMark/>
          </w:tcPr>
          <w:p w14:paraId="6F192CDC" w14:textId="77777777" w:rsidR="00E50196" w:rsidRPr="00DC6E23" w:rsidRDefault="00E50196" w:rsidP="00E50196">
            <w:pPr>
              <w:spacing w:before="0" w:after="0"/>
              <w:cnfStyle w:val="100000000000" w:firstRow="1" w:lastRow="0" w:firstColumn="0" w:lastColumn="0" w:oddVBand="0" w:evenVBand="0" w:oddHBand="0" w:evenHBand="0" w:firstRowFirstColumn="0" w:firstRowLastColumn="0" w:lastRowFirstColumn="0" w:lastRowLastColumn="0"/>
              <w:rPr>
                <w:rFonts w:eastAsia="Times New Roman"/>
                <w:b w:val="0"/>
                <w:bCs w:val="0"/>
                <w:color w:val="000000"/>
                <w:sz w:val="16"/>
                <w:szCs w:val="16"/>
                <w:lang w:val="fr-FR" w:eastAsia="nb-NO"/>
              </w:rPr>
            </w:pPr>
          </w:p>
        </w:tc>
      </w:tr>
      <w:tr w:rsidR="00FD06E1" w:rsidRPr="00DC6E23" w14:paraId="2C0966BB" w14:textId="77777777" w:rsidTr="00151E0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667" w:type="dxa"/>
            <w:gridSpan w:val="5"/>
            <w:hideMark/>
          </w:tcPr>
          <w:p w14:paraId="3AB42558" w14:textId="39D277F2" w:rsidR="00FD06E1" w:rsidRPr="00DC6E23" w:rsidRDefault="00FD06E1" w:rsidP="00E50196">
            <w:pPr>
              <w:spacing w:before="0" w:after="0"/>
              <w:rPr>
                <w:rFonts w:eastAsia="Times New Roman"/>
                <w:color w:val="000000"/>
                <w:szCs w:val="22"/>
                <w:lang w:val="fr-FR" w:eastAsia="nb-NO"/>
              </w:rPr>
            </w:pPr>
            <w:r w:rsidRPr="00DC6E23">
              <w:rPr>
                <w:rFonts w:eastAsia="Times New Roman"/>
                <w:color w:val="000000" w:themeColor="text1"/>
                <w:szCs w:val="22"/>
                <w:lang w:val="fr-FR" w:eastAsia="nb-NO"/>
              </w:rPr>
              <w:t xml:space="preserve">Mines et TSV, détenues et exploitées par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 xml:space="preserve"> et WCS</w:t>
            </w:r>
          </w:p>
        </w:tc>
      </w:tr>
      <w:tr w:rsidR="008B604D" w:rsidRPr="00B97EF9" w14:paraId="2DB3E574" w14:textId="77777777" w:rsidTr="008B604D">
        <w:trPr>
          <w:trHeight w:val="445"/>
        </w:trPr>
        <w:tc>
          <w:tcPr>
            <w:cnfStyle w:val="001000000000" w:firstRow="0" w:lastRow="0" w:firstColumn="1" w:lastColumn="0" w:oddVBand="0" w:evenVBand="0" w:oddHBand="0" w:evenHBand="0" w:firstRowFirstColumn="0" w:firstRowLastColumn="0" w:lastRowFirstColumn="0" w:lastRowLastColumn="0"/>
            <w:tcW w:w="3565" w:type="dxa"/>
            <w:hideMark/>
          </w:tcPr>
          <w:p w14:paraId="6454F15D" w14:textId="68CA75C2" w:rsidR="008B604D" w:rsidRPr="00DC6E23" w:rsidRDefault="008B604D" w:rsidP="008B604D">
            <w:pPr>
              <w:spacing w:before="0" w:after="0"/>
              <w:ind w:firstLineChars="100" w:firstLine="221"/>
              <w:rPr>
                <w:rFonts w:eastAsia="Times New Roman"/>
                <w:color w:val="000000"/>
                <w:szCs w:val="22"/>
                <w:lang w:val="fr-FR" w:eastAsia="nb-NO"/>
              </w:rPr>
            </w:pPr>
            <w:r w:rsidRPr="00DC6E23">
              <w:rPr>
                <w:rFonts w:eastAsia="Times New Roman"/>
                <w:color w:val="000000" w:themeColor="text1"/>
                <w:szCs w:val="22"/>
                <w:lang w:val="fr-FR" w:eastAsia="nb-NO"/>
              </w:rPr>
              <w:t xml:space="preserve">Développement d'une mine initiale de 60 Mt/an à </w:t>
            </w:r>
            <w:proofErr w:type="spellStart"/>
            <w:r w:rsidRPr="00DC6E23">
              <w:rPr>
                <w:rFonts w:eastAsia="Times New Roman"/>
                <w:color w:val="000000" w:themeColor="text1"/>
                <w:szCs w:val="22"/>
                <w:lang w:val="fr-FR" w:eastAsia="nb-NO"/>
              </w:rPr>
              <w:t>Simandou</w:t>
            </w:r>
            <w:proofErr w:type="spellEnd"/>
            <w:r w:rsidRPr="00DC6E23">
              <w:rPr>
                <w:rFonts w:eastAsia="Times New Roman"/>
                <w:color w:val="000000" w:themeColor="text1"/>
                <w:szCs w:val="22"/>
                <w:lang w:val="fr-FR" w:eastAsia="nb-NO"/>
              </w:rPr>
              <w:t xml:space="preserve"> Sud (blocs 3 et 4), qui sera construite par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w:t>
            </w:r>
          </w:p>
        </w:tc>
        <w:tc>
          <w:tcPr>
            <w:tcW w:w="1727" w:type="dxa"/>
            <w:hideMark/>
          </w:tcPr>
          <w:p w14:paraId="29BC59B3" w14:textId="77777777" w:rsidR="008B604D" w:rsidRPr="00B97EF9" w:rsidRDefault="008B604D"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5,1 $</w:t>
            </w:r>
          </w:p>
        </w:tc>
        <w:tc>
          <w:tcPr>
            <w:tcW w:w="1435" w:type="dxa"/>
            <w:hideMark/>
          </w:tcPr>
          <w:p w14:paraId="39C9E47F" w14:textId="77777777" w:rsidR="008B604D" w:rsidRPr="00B97EF9" w:rsidRDefault="008B604D"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2,7 $</w:t>
            </w:r>
          </w:p>
        </w:tc>
        <w:tc>
          <w:tcPr>
            <w:tcW w:w="2047" w:type="dxa"/>
            <w:hideMark/>
          </w:tcPr>
          <w:p w14:paraId="114FA605" w14:textId="77777777" w:rsidR="008B604D" w:rsidRPr="00B97EF9" w:rsidRDefault="008B604D"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p>
        </w:tc>
        <w:tc>
          <w:tcPr>
            <w:tcW w:w="893" w:type="dxa"/>
            <w:vMerge w:val="restart"/>
            <w:hideMark/>
          </w:tcPr>
          <w:p w14:paraId="37A0C50A" w14:textId="77777777" w:rsidR="008B604D" w:rsidRPr="00B97EF9" w:rsidRDefault="008B604D"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10,20 $</w:t>
            </w:r>
          </w:p>
        </w:tc>
      </w:tr>
      <w:tr w:rsidR="008B604D" w:rsidRPr="00B97EF9" w14:paraId="30856B26" w14:textId="77777777" w:rsidTr="008B604D">
        <w:trPr>
          <w:cnfStyle w:val="000000100000" w:firstRow="0" w:lastRow="0" w:firstColumn="0" w:lastColumn="0" w:oddVBand="0" w:evenVBand="0" w:oddHBand="1" w:evenHBand="0" w:firstRowFirstColumn="0" w:firstRowLastColumn="0" w:lastRowFirstColumn="0" w:lastRowLastColumn="0"/>
          <w:trHeight w:val="456"/>
        </w:trPr>
        <w:tc>
          <w:tcPr>
            <w:cnfStyle w:val="001000000000" w:firstRow="0" w:lastRow="0" w:firstColumn="1" w:lastColumn="0" w:oddVBand="0" w:evenVBand="0" w:oddHBand="0" w:evenHBand="0" w:firstRowFirstColumn="0" w:firstRowLastColumn="0" w:lastRowFirstColumn="0" w:lastRowLastColumn="0"/>
            <w:tcW w:w="3565" w:type="dxa"/>
            <w:hideMark/>
          </w:tcPr>
          <w:p w14:paraId="1ABFCEC4" w14:textId="77777777" w:rsidR="008B604D" w:rsidRPr="00DC6E23" w:rsidRDefault="008B604D" w:rsidP="008B604D">
            <w:pPr>
              <w:spacing w:before="0" w:after="0"/>
              <w:ind w:firstLineChars="100" w:firstLine="221"/>
              <w:rPr>
                <w:rFonts w:eastAsia="Times New Roman"/>
                <w:color w:val="000000"/>
                <w:szCs w:val="22"/>
                <w:lang w:val="fr-FR" w:eastAsia="nb-NO"/>
              </w:rPr>
            </w:pPr>
            <w:r w:rsidRPr="00DC6E23">
              <w:rPr>
                <w:rFonts w:eastAsia="Times New Roman"/>
                <w:color w:val="000000" w:themeColor="text1"/>
                <w:szCs w:val="22"/>
                <w:lang w:val="fr-FR" w:eastAsia="nb-NO"/>
              </w:rPr>
              <w:t xml:space="preserve">Développement d'une mine initiale de 60 Mt/an à </w:t>
            </w:r>
            <w:proofErr w:type="spellStart"/>
            <w:r w:rsidRPr="00DC6E23">
              <w:rPr>
                <w:rFonts w:eastAsia="Times New Roman"/>
                <w:color w:val="000000" w:themeColor="text1"/>
                <w:szCs w:val="22"/>
                <w:lang w:val="fr-FR" w:eastAsia="nb-NO"/>
              </w:rPr>
              <w:t>Simandou</w:t>
            </w:r>
            <w:proofErr w:type="spellEnd"/>
            <w:r w:rsidRPr="00DC6E23">
              <w:rPr>
                <w:rFonts w:eastAsia="Times New Roman"/>
                <w:color w:val="000000" w:themeColor="text1"/>
                <w:szCs w:val="22"/>
                <w:lang w:val="fr-FR" w:eastAsia="nb-NO"/>
              </w:rPr>
              <w:t xml:space="preserve"> Nord (blocs 1 et 2), qui sera construite par WCS.</w:t>
            </w:r>
          </w:p>
        </w:tc>
        <w:tc>
          <w:tcPr>
            <w:tcW w:w="1727" w:type="dxa"/>
            <w:hideMark/>
          </w:tcPr>
          <w:p w14:paraId="4B6BE54F" w14:textId="77777777" w:rsidR="008B604D" w:rsidRPr="00DC6E23" w:rsidRDefault="008B604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fr-FR" w:eastAsia="nb-NO"/>
              </w:rPr>
            </w:pPr>
          </w:p>
        </w:tc>
        <w:tc>
          <w:tcPr>
            <w:tcW w:w="1435" w:type="dxa"/>
            <w:hideMark/>
          </w:tcPr>
          <w:p w14:paraId="0548D2B5" w14:textId="77777777" w:rsidR="008B604D" w:rsidRPr="00DC6E23" w:rsidRDefault="008B604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fr-FR" w:eastAsia="nb-NO"/>
              </w:rPr>
            </w:pPr>
          </w:p>
        </w:tc>
        <w:tc>
          <w:tcPr>
            <w:tcW w:w="2047" w:type="dxa"/>
            <w:hideMark/>
          </w:tcPr>
          <w:p w14:paraId="55C81669" w14:textId="77777777" w:rsidR="008B604D" w:rsidRPr="00B97EF9" w:rsidRDefault="008B604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5,1 $</w:t>
            </w:r>
          </w:p>
        </w:tc>
        <w:tc>
          <w:tcPr>
            <w:tcW w:w="893" w:type="dxa"/>
            <w:vMerge/>
            <w:hideMark/>
          </w:tcPr>
          <w:p w14:paraId="78109DDF" w14:textId="77777777" w:rsidR="008B604D" w:rsidRPr="00B97EF9" w:rsidRDefault="008B604D" w:rsidP="008B604D">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nb-NO" w:eastAsia="nb-NO"/>
              </w:rPr>
            </w:pPr>
          </w:p>
        </w:tc>
      </w:tr>
      <w:tr w:rsidR="00151E00" w:rsidRPr="00FD06E1" w14:paraId="6FD8C4BD" w14:textId="77777777" w:rsidTr="00151E00">
        <w:trPr>
          <w:trHeight w:val="397"/>
        </w:trPr>
        <w:tc>
          <w:tcPr>
            <w:cnfStyle w:val="001000000000" w:firstRow="0" w:lastRow="0" w:firstColumn="1" w:lastColumn="0" w:oddVBand="0" w:evenVBand="0" w:oddHBand="0" w:evenHBand="0" w:firstRowFirstColumn="0" w:firstRowLastColumn="0" w:lastRowFirstColumn="0" w:lastRowLastColumn="0"/>
            <w:tcW w:w="9667" w:type="dxa"/>
            <w:gridSpan w:val="5"/>
            <w:hideMark/>
          </w:tcPr>
          <w:p w14:paraId="138EFEFC" w14:textId="60FBC643" w:rsidR="00151E00" w:rsidRPr="00FD06E1" w:rsidRDefault="00151E00" w:rsidP="008B604D">
            <w:pPr>
              <w:spacing w:before="0" w:after="0"/>
              <w:jc w:val="center"/>
              <w:rPr>
                <w:rFonts w:eastAsia="Times New Roman"/>
                <w:color w:val="000000"/>
                <w:szCs w:val="22"/>
                <w:lang w:val="fr-FR" w:eastAsia="nb-NO"/>
              </w:rPr>
            </w:pPr>
            <w:r w:rsidRPr="00DC6E23">
              <w:rPr>
                <w:rFonts w:eastAsia="Times New Roman"/>
                <w:color w:val="000000" w:themeColor="text1"/>
                <w:szCs w:val="22"/>
                <w:lang w:val="fr-FR" w:eastAsia="nb-NO"/>
              </w:rPr>
              <w:t>Infrastructure développée en collaboration, détenue et exploitée par CTG une fois achevée</w:t>
            </w:r>
          </w:p>
        </w:tc>
      </w:tr>
      <w:tr w:rsidR="008E006D" w:rsidRPr="00B97EF9" w14:paraId="2CE02DA0" w14:textId="77777777" w:rsidTr="001A7BBF">
        <w:trPr>
          <w:cnfStyle w:val="000000100000" w:firstRow="0" w:lastRow="0" w:firstColumn="0" w:lastColumn="0" w:oddVBand="0" w:evenVBand="0" w:oddHBand="1" w:evenHBand="0" w:firstRowFirstColumn="0" w:firstRowLastColumn="0" w:lastRowFirstColumn="0" w:lastRowLastColumn="0"/>
          <w:trHeight w:val="2450"/>
        </w:trPr>
        <w:tc>
          <w:tcPr>
            <w:cnfStyle w:val="001000000000" w:firstRow="0" w:lastRow="0" w:firstColumn="1" w:lastColumn="0" w:oddVBand="0" w:evenVBand="0" w:oddHBand="0" w:evenHBand="0" w:firstRowFirstColumn="0" w:firstRowLastColumn="0" w:lastRowFirstColumn="0" w:lastRowLastColumn="0"/>
            <w:tcW w:w="3565" w:type="dxa"/>
            <w:hideMark/>
          </w:tcPr>
          <w:p w14:paraId="47A69D96" w14:textId="77777777" w:rsidR="008E006D" w:rsidRDefault="008E006D" w:rsidP="008B604D">
            <w:pPr>
              <w:spacing w:before="0" w:after="0"/>
              <w:ind w:firstLineChars="100" w:firstLine="221"/>
              <w:rPr>
                <w:rFonts w:eastAsia="Times New Roman"/>
                <w:b w:val="0"/>
                <w:bCs w:val="0"/>
                <w:color w:val="000000" w:themeColor="text1"/>
                <w:szCs w:val="22"/>
                <w:lang w:val="fr-FR" w:eastAsia="nb-NO"/>
              </w:rPr>
            </w:pPr>
            <w:r w:rsidRPr="00DC6E23">
              <w:rPr>
                <w:rFonts w:eastAsia="Times New Roman"/>
                <w:color w:val="000000" w:themeColor="text1"/>
                <w:szCs w:val="22"/>
                <w:lang w:val="fr-FR" w:eastAsia="nb-NO"/>
              </w:rPr>
              <w:t xml:space="preserve">Portée du projet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 xml:space="preserve"> (financée à 100% par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 xml:space="preserve"> pendant la construction)</w:t>
            </w:r>
          </w:p>
          <w:p w14:paraId="1E5A7DF2" w14:textId="77777777" w:rsidR="008E006D" w:rsidRDefault="008E006D" w:rsidP="008B604D">
            <w:pPr>
              <w:spacing w:before="0" w:after="0"/>
              <w:ind w:firstLineChars="100" w:firstLine="220"/>
              <w:rPr>
                <w:rFonts w:eastAsia="Times New Roman"/>
                <w:b w:val="0"/>
                <w:bCs w:val="0"/>
                <w:color w:val="000000"/>
                <w:szCs w:val="22"/>
                <w:lang w:val="fr-FR" w:eastAsia="nb-NO"/>
              </w:rPr>
            </w:pPr>
          </w:p>
          <w:p w14:paraId="5DC71EA0" w14:textId="109E7BF7" w:rsidR="008E006D" w:rsidRPr="00DC6E23" w:rsidRDefault="008E006D" w:rsidP="008B604D">
            <w:pPr>
              <w:spacing w:before="0" w:after="0"/>
              <w:ind w:firstLineChars="100" w:firstLine="221"/>
              <w:rPr>
                <w:rFonts w:eastAsia="Times New Roman"/>
                <w:b w:val="0"/>
                <w:bCs w:val="0"/>
                <w:color w:val="000000"/>
                <w:szCs w:val="22"/>
                <w:lang w:val="fr-FR" w:eastAsia="nb-NO"/>
              </w:rPr>
            </w:pPr>
            <w:r w:rsidRPr="00DC6E23">
              <w:rPr>
                <w:rFonts w:eastAsia="Times New Roman"/>
                <w:color w:val="000000" w:themeColor="text1"/>
                <w:szCs w:val="22"/>
                <w:lang w:val="fr-FR" w:eastAsia="nb-NO"/>
              </w:rPr>
              <w:t xml:space="preserve">Voie ferrée : un embranchement ferroviaire de 70 km reliant la mine de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 xml:space="preserve"> à la ligne principale, comprenant le matériel roulant.</w:t>
            </w:r>
          </w:p>
        </w:tc>
        <w:tc>
          <w:tcPr>
            <w:tcW w:w="1727" w:type="dxa"/>
            <w:hideMark/>
          </w:tcPr>
          <w:p w14:paraId="3AEEBE4F" w14:textId="77777777" w:rsidR="008E006D" w:rsidRPr="00B97EF9" w:rsidRDefault="008E006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3,5 $</w:t>
            </w:r>
          </w:p>
        </w:tc>
        <w:tc>
          <w:tcPr>
            <w:tcW w:w="1435" w:type="dxa"/>
            <w:hideMark/>
          </w:tcPr>
          <w:p w14:paraId="7407C2E6" w14:textId="77777777" w:rsidR="008E006D" w:rsidRPr="00B97EF9" w:rsidRDefault="008E006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1,9 $</w:t>
            </w:r>
          </w:p>
        </w:tc>
        <w:tc>
          <w:tcPr>
            <w:tcW w:w="2047" w:type="dxa"/>
            <w:hideMark/>
          </w:tcPr>
          <w:p w14:paraId="68CCE877" w14:textId="77777777" w:rsidR="008E006D" w:rsidRPr="00B97EF9" w:rsidRDefault="008E006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nb-NO" w:eastAsia="nb-NO"/>
              </w:rPr>
            </w:pPr>
          </w:p>
        </w:tc>
        <w:tc>
          <w:tcPr>
            <w:tcW w:w="893" w:type="dxa"/>
            <w:vMerge w:val="restart"/>
            <w:hideMark/>
          </w:tcPr>
          <w:p w14:paraId="17FF0143" w14:textId="77777777" w:rsidR="008E006D" w:rsidRPr="00B97EF9" w:rsidRDefault="008E006D" w:rsidP="008B604D">
            <w:pPr>
              <w:spacing w:before="0" w:after="0"/>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12,31 $</w:t>
            </w:r>
          </w:p>
        </w:tc>
      </w:tr>
      <w:tr w:rsidR="0080095B" w:rsidRPr="00B97EF9" w14:paraId="0E9C11AC" w14:textId="77777777" w:rsidTr="0080095B">
        <w:trPr>
          <w:trHeight w:val="1144"/>
        </w:trPr>
        <w:tc>
          <w:tcPr>
            <w:cnfStyle w:val="001000000000" w:firstRow="0" w:lastRow="0" w:firstColumn="1" w:lastColumn="0" w:oddVBand="0" w:evenVBand="0" w:oddHBand="0" w:evenHBand="0" w:firstRowFirstColumn="0" w:firstRowLastColumn="0" w:lastRowFirstColumn="0" w:lastRowLastColumn="0"/>
            <w:tcW w:w="3565" w:type="dxa"/>
            <w:hideMark/>
          </w:tcPr>
          <w:p w14:paraId="47FE7B98" w14:textId="5652696D" w:rsidR="0080095B" w:rsidRPr="00DC6E23" w:rsidRDefault="0080095B" w:rsidP="008B604D">
            <w:pPr>
              <w:spacing w:before="0" w:after="0"/>
              <w:ind w:firstLineChars="100" w:firstLine="221"/>
              <w:rPr>
                <w:rFonts w:eastAsia="Times New Roman"/>
                <w:color w:val="000000"/>
                <w:szCs w:val="22"/>
                <w:lang w:val="fr-FR" w:eastAsia="nb-NO"/>
              </w:rPr>
            </w:pPr>
            <w:r w:rsidRPr="00DC6E23">
              <w:rPr>
                <w:rFonts w:eastAsia="Times New Roman"/>
                <w:color w:val="000000" w:themeColor="text1"/>
                <w:szCs w:val="22"/>
                <w:lang w:val="fr-FR" w:eastAsia="nb-NO"/>
              </w:rPr>
              <w:lastRenderedPageBreak/>
              <w:t xml:space="preserve">Port : construction d'un port TSV de 60 Mt/an périmètre du WCS (financé à 34 % par </w:t>
            </w:r>
            <w:proofErr w:type="spellStart"/>
            <w:r w:rsidRPr="00DC6E23">
              <w:rPr>
                <w:rFonts w:eastAsia="Times New Roman"/>
                <w:color w:val="000000" w:themeColor="text1"/>
                <w:szCs w:val="22"/>
                <w:lang w:val="fr-FR" w:eastAsia="nb-NO"/>
              </w:rPr>
              <w:t>Simfer</w:t>
            </w:r>
            <w:proofErr w:type="spellEnd"/>
            <w:r w:rsidRPr="00DC6E23">
              <w:rPr>
                <w:rFonts w:eastAsia="Times New Roman"/>
                <w:color w:val="000000" w:themeColor="text1"/>
                <w:szCs w:val="22"/>
                <w:lang w:val="fr-FR" w:eastAsia="nb-NO"/>
              </w:rPr>
              <w:t xml:space="preserve"> pendant la construction)</w:t>
            </w:r>
          </w:p>
        </w:tc>
        <w:tc>
          <w:tcPr>
            <w:tcW w:w="1727" w:type="dxa"/>
            <w:vMerge w:val="restart"/>
            <w:hideMark/>
          </w:tcPr>
          <w:p w14:paraId="08D85515" w14:textId="77777777" w:rsidR="0080095B" w:rsidRPr="00B97EF9" w:rsidRDefault="0080095B"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3,0 $</w:t>
            </w:r>
          </w:p>
        </w:tc>
        <w:tc>
          <w:tcPr>
            <w:tcW w:w="1435" w:type="dxa"/>
            <w:vMerge w:val="restart"/>
            <w:hideMark/>
          </w:tcPr>
          <w:p w14:paraId="6E44B874" w14:textId="77777777" w:rsidR="0080095B" w:rsidRPr="00B97EF9" w:rsidRDefault="0080095B"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1,6 $</w:t>
            </w:r>
          </w:p>
        </w:tc>
        <w:tc>
          <w:tcPr>
            <w:tcW w:w="2047" w:type="dxa"/>
            <w:vMerge w:val="restart"/>
            <w:hideMark/>
          </w:tcPr>
          <w:p w14:paraId="5D653253" w14:textId="77777777" w:rsidR="0080095B" w:rsidRPr="00B97EF9" w:rsidRDefault="0080095B" w:rsidP="008B604D">
            <w:pPr>
              <w:spacing w:before="0" w:after="0"/>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Cs w:val="22"/>
                <w:lang w:val="nb-NO" w:eastAsia="nb-NO"/>
              </w:rPr>
            </w:pPr>
            <w:r w:rsidRPr="17B7465E">
              <w:rPr>
                <w:rFonts w:eastAsia="Times New Roman"/>
                <w:color w:val="000000" w:themeColor="text1"/>
                <w:szCs w:val="22"/>
                <w:lang w:val="nb-NO" w:eastAsia="nb-NO"/>
              </w:rPr>
              <w:t>5,808 $</w:t>
            </w:r>
          </w:p>
        </w:tc>
        <w:tc>
          <w:tcPr>
            <w:tcW w:w="893" w:type="dxa"/>
            <w:vMerge/>
            <w:hideMark/>
          </w:tcPr>
          <w:p w14:paraId="0E48817B" w14:textId="77777777" w:rsidR="0080095B" w:rsidRPr="00B97EF9" w:rsidRDefault="0080095B" w:rsidP="008B604D">
            <w:pPr>
              <w:spacing w:before="0" w:after="0"/>
              <w:cnfStyle w:val="000000000000" w:firstRow="0" w:lastRow="0" w:firstColumn="0" w:lastColumn="0" w:oddVBand="0" w:evenVBand="0" w:oddHBand="0" w:evenHBand="0" w:firstRowFirstColumn="0" w:firstRowLastColumn="0" w:lastRowFirstColumn="0" w:lastRowLastColumn="0"/>
              <w:rPr>
                <w:rFonts w:eastAsia="Times New Roman"/>
                <w:color w:val="000000"/>
                <w:sz w:val="16"/>
                <w:szCs w:val="16"/>
                <w:lang w:val="nb-NO" w:eastAsia="nb-NO"/>
              </w:rPr>
            </w:pPr>
          </w:p>
        </w:tc>
      </w:tr>
      <w:tr w:rsidR="008B604D" w:rsidRPr="00DC6E23" w14:paraId="31734722" w14:textId="77777777" w:rsidTr="008B604D">
        <w:trPr>
          <w:cnfStyle w:val="000000100000" w:firstRow="0" w:lastRow="0" w:firstColumn="0" w:lastColumn="0" w:oddVBand="0" w:evenVBand="0" w:oddHBand="1" w:evenHBand="0" w:firstRowFirstColumn="0" w:firstRowLastColumn="0" w:lastRowFirstColumn="0" w:lastRowLastColumn="0"/>
          <w:trHeight w:val="679"/>
        </w:trPr>
        <w:tc>
          <w:tcPr>
            <w:cnfStyle w:val="001000000000" w:firstRow="0" w:lastRow="0" w:firstColumn="1" w:lastColumn="0" w:oddVBand="0" w:evenVBand="0" w:oddHBand="0" w:evenHBand="0" w:firstRowFirstColumn="0" w:firstRowLastColumn="0" w:lastRowFirstColumn="0" w:lastRowLastColumn="0"/>
            <w:tcW w:w="3565" w:type="dxa"/>
            <w:hideMark/>
          </w:tcPr>
          <w:p w14:paraId="42199AC7" w14:textId="77777777" w:rsidR="008B604D" w:rsidRPr="00DC6E23" w:rsidRDefault="008B604D" w:rsidP="008B604D">
            <w:pPr>
              <w:spacing w:before="0" w:after="0"/>
              <w:ind w:firstLineChars="100" w:firstLine="221"/>
              <w:rPr>
                <w:rFonts w:eastAsia="Times New Roman"/>
                <w:color w:val="000000"/>
                <w:szCs w:val="22"/>
                <w:lang w:val="fr-FR" w:eastAsia="nb-NO"/>
              </w:rPr>
            </w:pPr>
            <w:r w:rsidRPr="00DC6E23">
              <w:rPr>
                <w:rFonts w:eastAsia="Times New Roman"/>
                <w:color w:val="000000" w:themeColor="text1"/>
                <w:szCs w:val="22"/>
                <w:lang w:val="fr-FR" w:eastAsia="nb-NO"/>
              </w:rPr>
              <w:t xml:space="preserve">Infrastructures portuaires et ferroviaires, notamment un système ferroviaire </w:t>
            </w:r>
            <w:proofErr w:type="spellStart"/>
            <w:r w:rsidRPr="00DC6E23">
              <w:rPr>
                <w:rFonts w:eastAsia="Times New Roman"/>
                <w:color w:val="000000" w:themeColor="text1"/>
                <w:szCs w:val="22"/>
                <w:lang w:val="fr-FR" w:eastAsia="nb-NO"/>
              </w:rPr>
              <w:t>transguinéen</w:t>
            </w:r>
            <w:proofErr w:type="spellEnd"/>
            <w:r w:rsidRPr="00DC6E23">
              <w:rPr>
                <w:rFonts w:eastAsia="Times New Roman"/>
                <w:color w:val="000000" w:themeColor="text1"/>
                <w:szCs w:val="22"/>
                <w:lang w:val="fr-FR" w:eastAsia="nb-NO"/>
              </w:rPr>
              <w:t xml:space="preserve"> de transport de marchandises lourdes d'environ 552 km, composé d'une ligne principale de 536 km et d'une voie de raccordement ferroviaire WCS de 16 km.</w:t>
            </w:r>
          </w:p>
        </w:tc>
        <w:tc>
          <w:tcPr>
            <w:tcW w:w="1727" w:type="dxa"/>
            <w:vMerge/>
            <w:hideMark/>
          </w:tcPr>
          <w:p w14:paraId="6B538D45" w14:textId="77777777" w:rsidR="008B604D" w:rsidRPr="00DC6E23" w:rsidRDefault="008B604D" w:rsidP="008B604D">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fr-FR" w:eastAsia="nb-NO"/>
              </w:rPr>
            </w:pPr>
          </w:p>
        </w:tc>
        <w:tc>
          <w:tcPr>
            <w:tcW w:w="1435" w:type="dxa"/>
            <w:vMerge/>
            <w:hideMark/>
          </w:tcPr>
          <w:p w14:paraId="7F5F8D1E" w14:textId="77777777" w:rsidR="008B604D" w:rsidRPr="00DC6E23" w:rsidRDefault="008B604D" w:rsidP="008B604D">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fr-FR" w:eastAsia="nb-NO"/>
              </w:rPr>
            </w:pPr>
          </w:p>
        </w:tc>
        <w:tc>
          <w:tcPr>
            <w:tcW w:w="2047" w:type="dxa"/>
            <w:vMerge/>
            <w:hideMark/>
          </w:tcPr>
          <w:p w14:paraId="0FB5BE40" w14:textId="77777777" w:rsidR="008B604D" w:rsidRPr="00DC6E23" w:rsidRDefault="008B604D" w:rsidP="008B604D">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fr-FR" w:eastAsia="nb-NO"/>
              </w:rPr>
            </w:pPr>
          </w:p>
        </w:tc>
        <w:tc>
          <w:tcPr>
            <w:tcW w:w="893" w:type="dxa"/>
            <w:vMerge/>
            <w:hideMark/>
          </w:tcPr>
          <w:p w14:paraId="4A504496" w14:textId="77777777" w:rsidR="008B604D" w:rsidRPr="00DC6E23" w:rsidRDefault="008B604D" w:rsidP="008B604D">
            <w:pPr>
              <w:spacing w:before="0" w:after="0"/>
              <w:cnfStyle w:val="000000100000" w:firstRow="0" w:lastRow="0" w:firstColumn="0" w:lastColumn="0" w:oddVBand="0" w:evenVBand="0" w:oddHBand="1" w:evenHBand="0" w:firstRowFirstColumn="0" w:firstRowLastColumn="0" w:lastRowFirstColumn="0" w:lastRowLastColumn="0"/>
              <w:rPr>
                <w:rFonts w:eastAsia="Times New Roman"/>
                <w:color w:val="000000"/>
                <w:sz w:val="16"/>
                <w:szCs w:val="16"/>
                <w:lang w:val="fr-FR" w:eastAsia="nb-NO"/>
              </w:rPr>
            </w:pPr>
          </w:p>
        </w:tc>
      </w:tr>
    </w:tbl>
    <w:p w14:paraId="7FF93D60" w14:textId="22621602" w:rsidR="00C70FD2" w:rsidRDefault="1A8B44C1" w:rsidP="17B7465E">
      <w:pPr>
        <w:spacing w:line="259" w:lineRule="auto"/>
        <w:jc w:val="center"/>
        <w:rPr>
          <w:b/>
          <w:bCs/>
          <w:sz w:val="16"/>
          <w:szCs w:val="16"/>
          <w:lang w:val="fr-FR"/>
        </w:rPr>
      </w:pPr>
      <w:proofErr w:type="gramStart"/>
      <w:r w:rsidRPr="17B7465E">
        <w:rPr>
          <w:b/>
          <w:bCs/>
          <w:sz w:val="16"/>
          <w:szCs w:val="16"/>
          <w:lang w:val="fr-FR"/>
        </w:rPr>
        <w:t>Sources:</w:t>
      </w:r>
      <w:proofErr w:type="gramEnd"/>
      <w:r w:rsidR="6024384A" w:rsidRPr="17B7465E">
        <w:rPr>
          <w:b/>
          <w:bCs/>
          <w:sz w:val="16"/>
          <w:szCs w:val="16"/>
          <w:lang w:val="fr-FR"/>
        </w:rPr>
        <w:t xml:space="preserve"> Séminaire Investisseurs Rio Tinto décembre 2023, Convention de Base de WCS juin 2020</w:t>
      </w:r>
    </w:p>
    <w:p w14:paraId="14FCB97C" w14:textId="44305438" w:rsidR="00C70FD2" w:rsidRDefault="3A5D3F6B" w:rsidP="17B7465E">
      <w:pPr>
        <w:spacing w:line="259" w:lineRule="auto"/>
        <w:jc w:val="both"/>
        <w:rPr>
          <w:b/>
          <w:bCs/>
          <w:sz w:val="16"/>
          <w:szCs w:val="16"/>
          <w:lang w:val="fr-FR"/>
        </w:rPr>
      </w:pPr>
      <w:r w:rsidRPr="17B7465E">
        <w:rPr>
          <w:b/>
          <w:bCs/>
          <w:sz w:val="16"/>
          <w:szCs w:val="16"/>
          <w:lang w:val="fr-FR"/>
        </w:rPr>
        <w:t>*</w:t>
      </w:r>
      <w:r w:rsidR="5CA12077" w:rsidRPr="17B7465E">
        <w:rPr>
          <w:b/>
          <w:bCs/>
          <w:sz w:val="16"/>
          <w:szCs w:val="16"/>
          <w:lang w:val="fr-FR"/>
        </w:rPr>
        <w:t xml:space="preserve">Les dépenses d'investissement de WCS pour le développement de sa mine devraient être similaires aux coûts de la mine de </w:t>
      </w:r>
      <w:proofErr w:type="spellStart"/>
      <w:r w:rsidR="5CA12077" w:rsidRPr="17B7465E">
        <w:rPr>
          <w:b/>
          <w:bCs/>
          <w:sz w:val="16"/>
          <w:szCs w:val="16"/>
          <w:lang w:val="fr-FR"/>
        </w:rPr>
        <w:t>Simfer</w:t>
      </w:r>
      <w:proofErr w:type="spellEnd"/>
      <w:r w:rsidR="5CA12077" w:rsidRPr="17B7465E">
        <w:rPr>
          <w:b/>
          <w:bCs/>
          <w:sz w:val="16"/>
          <w:szCs w:val="16"/>
          <w:lang w:val="fr-FR"/>
        </w:rPr>
        <w:t>.</w:t>
      </w:r>
    </w:p>
    <w:p w14:paraId="76FAB8BC" w14:textId="74532D14" w:rsidR="00213E17" w:rsidRDefault="44DE42EE" w:rsidP="17B7465E">
      <w:pPr>
        <w:pStyle w:val="Paragraphedeliste"/>
        <w:numPr>
          <w:ilvl w:val="0"/>
          <w:numId w:val="11"/>
        </w:numPr>
        <w:spacing w:line="259" w:lineRule="auto"/>
        <w:jc w:val="both"/>
        <w:rPr>
          <w:lang w:val="fr-FR"/>
        </w:rPr>
      </w:pPr>
      <w:r w:rsidRPr="17B7465E">
        <w:rPr>
          <w:b/>
          <w:bCs/>
          <w:lang w:val="fr-FR"/>
        </w:rPr>
        <w:t>Dépenses d'exploitation (Opex) et dépenses d'investissement de maintien</w:t>
      </w:r>
      <w:r w:rsidR="0F403067" w:rsidRPr="17B7465E">
        <w:rPr>
          <w:b/>
          <w:bCs/>
          <w:lang w:val="fr-FR"/>
        </w:rPr>
        <w:t xml:space="preserve"> (</w:t>
      </w:r>
      <w:proofErr w:type="spellStart"/>
      <w:r w:rsidR="0F403067" w:rsidRPr="17B7465E">
        <w:rPr>
          <w:b/>
          <w:bCs/>
          <w:lang w:val="fr-FR"/>
        </w:rPr>
        <w:t>Sustaining</w:t>
      </w:r>
      <w:proofErr w:type="spellEnd"/>
      <w:r w:rsidR="0F403067" w:rsidRPr="17B7465E">
        <w:rPr>
          <w:b/>
          <w:bCs/>
          <w:lang w:val="fr-FR"/>
        </w:rPr>
        <w:t xml:space="preserve"> Capex)</w:t>
      </w:r>
      <w:r w:rsidRPr="17B7465E">
        <w:rPr>
          <w:b/>
          <w:bCs/>
          <w:lang w:val="fr-FR"/>
        </w:rPr>
        <w:t> :</w:t>
      </w:r>
      <w:r w:rsidR="4636D150" w:rsidRPr="17B7465E">
        <w:rPr>
          <w:b/>
          <w:bCs/>
          <w:lang w:val="fr-FR"/>
        </w:rPr>
        <w:t xml:space="preserve"> </w:t>
      </w:r>
      <w:r w:rsidRPr="17B7465E">
        <w:rPr>
          <w:lang w:val="fr-FR"/>
        </w:rPr>
        <w:t xml:space="preserve">17 $/tonne </w:t>
      </w:r>
      <w:r w:rsidR="489EF9B1" w:rsidRPr="17B7465E">
        <w:rPr>
          <w:lang w:val="fr-FR"/>
        </w:rPr>
        <w:t>humide (</w:t>
      </w:r>
      <w:proofErr w:type="spellStart"/>
      <w:r w:rsidR="489EF9B1" w:rsidRPr="17B7465E">
        <w:rPr>
          <w:lang w:val="fr-FR"/>
        </w:rPr>
        <w:t>wmt</w:t>
      </w:r>
      <w:proofErr w:type="spellEnd"/>
      <w:r w:rsidR="489EF9B1" w:rsidRPr="17B7465E">
        <w:rPr>
          <w:lang w:val="fr-FR"/>
        </w:rPr>
        <w:t>)</w:t>
      </w:r>
      <w:r w:rsidRPr="17B7465E">
        <w:rPr>
          <w:lang w:val="fr-FR"/>
        </w:rPr>
        <w:t xml:space="preserve"> à payer à CTG (composante ferroviaire et portuaire) et 11 $/tonne </w:t>
      </w:r>
      <w:r w:rsidR="46138FDD" w:rsidRPr="17B7465E">
        <w:rPr>
          <w:lang w:val="fr-FR"/>
        </w:rPr>
        <w:t>humide pour</w:t>
      </w:r>
      <w:r w:rsidRPr="17B7465E">
        <w:rPr>
          <w:lang w:val="fr-FR"/>
        </w:rPr>
        <w:t xml:space="preserve"> la mine de </w:t>
      </w:r>
      <w:proofErr w:type="spellStart"/>
      <w:r w:rsidRPr="17B7465E">
        <w:rPr>
          <w:lang w:val="fr-FR"/>
        </w:rPr>
        <w:t>Simfer</w:t>
      </w:r>
      <w:proofErr w:type="spellEnd"/>
      <w:r w:rsidR="7F32489F" w:rsidRPr="17B7465E">
        <w:rPr>
          <w:lang w:val="fr-FR"/>
        </w:rPr>
        <w:t xml:space="preserve"> </w:t>
      </w:r>
      <w:r w:rsidR="5938EB1F" w:rsidRPr="17B7465E">
        <w:rPr>
          <w:lang w:val="fr-FR"/>
        </w:rPr>
        <w:t xml:space="preserve">et les mêmes </w:t>
      </w:r>
      <w:r w:rsidR="4BC5C800" w:rsidRPr="17B7465E">
        <w:rPr>
          <w:lang w:val="fr-FR"/>
        </w:rPr>
        <w:t>coûts unitaires</w:t>
      </w:r>
      <w:r w:rsidR="5938EB1F" w:rsidRPr="17B7465E">
        <w:rPr>
          <w:lang w:val="fr-FR"/>
        </w:rPr>
        <w:t xml:space="preserve"> sont </w:t>
      </w:r>
      <w:r w:rsidR="556CFF20" w:rsidRPr="17B7465E">
        <w:rPr>
          <w:lang w:val="fr-FR"/>
        </w:rPr>
        <w:t>retenus</w:t>
      </w:r>
      <w:r w:rsidR="5938EB1F" w:rsidRPr="17B7465E">
        <w:rPr>
          <w:lang w:val="fr-FR"/>
        </w:rPr>
        <w:t xml:space="preserve"> pour WCS. En l'absence de données publiées de WCS, on suppose que les coûts d'investissement et d'exploitation des deux mines sont identiques et sont donc basés sur</w:t>
      </w:r>
      <w:r w:rsidR="21920EDE" w:rsidRPr="17B7465E">
        <w:rPr>
          <w:lang w:val="fr-FR"/>
        </w:rPr>
        <w:t xml:space="preserve"> l’étude de</w:t>
      </w:r>
      <w:r w:rsidR="71E9D0E6" w:rsidRPr="17B7465E">
        <w:rPr>
          <w:lang w:val="fr-FR"/>
        </w:rPr>
        <w:t xml:space="preserve"> </w:t>
      </w:r>
      <w:hyperlink r:id="rId39">
        <w:r w:rsidR="3D83EE0F" w:rsidRPr="17B7465E">
          <w:rPr>
            <w:rStyle w:val="Lienhypertexte"/>
            <w:lang w:val="fr-FR"/>
          </w:rPr>
          <w:t>Rio Tinto (2023)</w:t>
        </w:r>
      </w:hyperlink>
      <w:r w:rsidR="3D83EE0F" w:rsidRPr="17B7465E">
        <w:rPr>
          <w:lang w:val="fr-FR"/>
        </w:rPr>
        <w:t>.</w:t>
      </w:r>
    </w:p>
    <w:p w14:paraId="0F432FAB" w14:textId="45B7F6F2" w:rsidR="00DD24E6" w:rsidRPr="00FD0CBC" w:rsidRDefault="07803640" w:rsidP="17B7465E">
      <w:pPr>
        <w:numPr>
          <w:ilvl w:val="0"/>
          <w:numId w:val="11"/>
        </w:numPr>
        <w:spacing w:line="259" w:lineRule="auto"/>
        <w:jc w:val="both"/>
        <w:rPr>
          <w:lang w:val="fr-FR"/>
        </w:rPr>
      </w:pPr>
      <w:r w:rsidRPr="17B7465E">
        <w:rPr>
          <w:lang w:val="fr-FR"/>
        </w:rPr>
        <w:t xml:space="preserve">Le détail des coûts opératoires se présentent comme </w:t>
      </w:r>
      <w:proofErr w:type="gramStart"/>
      <w:r w:rsidRPr="17B7465E">
        <w:rPr>
          <w:lang w:val="fr-FR"/>
        </w:rPr>
        <w:t>suit:</w:t>
      </w:r>
      <w:proofErr w:type="gramEnd"/>
    </w:p>
    <w:p w14:paraId="53425608" w14:textId="3E0584A9" w:rsidR="00DD24E6" w:rsidRPr="00FD0CBC" w:rsidRDefault="20220316" w:rsidP="17B7465E">
      <w:pPr>
        <w:spacing w:line="259" w:lineRule="auto"/>
        <w:ind w:left="720"/>
        <w:jc w:val="center"/>
        <w:rPr>
          <w:b/>
          <w:bCs/>
          <w:lang w:val="fr-FR"/>
        </w:rPr>
      </w:pPr>
      <w:r w:rsidRPr="17B7465E">
        <w:rPr>
          <w:b/>
          <w:bCs/>
          <w:lang w:val="fr-FR"/>
        </w:rPr>
        <w:t xml:space="preserve">Tableau </w:t>
      </w:r>
      <w:r w:rsidR="005F6609">
        <w:rPr>
          <w:b/>
          <w:bCs/>
          <w:lang w:val="fr-FR"/>
        </w:rPr>
        <w:t>3</w:t>
      </w:r>
      <w:r w:rsidRPr="17B7465E">
        <w:rPr>
          <w:b/>
          <w:bCs/>
          <w:lang w:val="fr-FR"/>
        </w:rPr>
        <w:t xml:space="preserve"> : Résumé des OPEX du projet </w:t>
      </w:r>
    </w:p>
    <w:tbl>
      <w:tblPr>
        <w:tblStyle w:val="TableauGrille4-Accentuation1"/>
        <w:tblW w:w="0" w:type="auto"/>
        <w:tblLook w:val="06A0" w:firstRow="1" w:lastRow="0" w:firstColumn="1" w:lastColumn="0" w:noHBand="1" w:noVBand="1"/>
      </w:tblPr>
      <w:tblGrid>
        <w:gridCol w:w="1470"/>
        <w:gridCol w:w="5038"/>
        <w:gridCol w:w="2552"/>
      </w:tblGrid>
      <w:tr w:rsidR="17B7465E" w14:paraId="3B3FAE73" w14:textId="77777777" w:rsidTr="17B7465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70" w:type="dxa"/>
          </w:tcPr>
          <w:p w14:paraId="40BEE8F7" w14:textId="54F3A20E" w:rsidR="17B7465E" w:rsidRDefault="17B7465E" w:rsidP="17B7465E">
            <w:pPr>
              <w:spacing w:before="0" w:after="0"/>
              <w:jc w:val="center"/>
              <w:rPr>
                <w:lang w:val="en-US"/>
              </w:rPr>
            </w:pPr>
            <w:proofErr w:type="spellStart"/>
            <w:r w:rsidRPr="17B7465E">
              <w:rPr>
                <w:lang w:val="en-US"/>
              </w:rPr>
              <w:t>Rubrique</w:t>
            </w:r>
            <w:proofErr w:type="spellEnd"/>
          </w:p>
        </w:tc>
        <w:tc>
          <w:tcPr>
            <w:tcW w:w="5038" w:type="dxa"/>
          </w:tcPr>
          <w:p w14:paraId="4C137FC2" w14:textId="11CE8586" w:rsidR="17B7465E" w:rsidRDefault="17B7465E" w:rsidP="17B7465E">
            <w:pPr>
              <w:spacing w:before="0" w:after="0"/>
              <w:jc w:val="cente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sidRPr="17B7465E">
              <w:rPr>
                <w:lang w:val="en-US"/>
              </w:rPr>
              <w:t>Élément</w:t>
            </w:r>
            <w:proofErr w:type="spellEnd"/>
          </w:p>
        </w:tc>
        <w:tc>
          <w:tcPr>
            <w:tcW w:w="2552" w:type="dxa"/>
          </w:tcPr>
          <w:p w14:paraId="14689CE9" w14:textId="0CF611C7" w:rsidR="17B7465E" w:rsidRDefault="17B7465E" w:rsidP="17B7465E">
            <w:pPr>
              <w:spacing w:before="0" w:after="0"/>
              <w:jc w:val="center"/>
              <w:cnfStyle w:val="100000000000" w:firstRow="1" w:lastRow="0" w:firstColumn="0" w:lastColumn="0" w:oddVBand="0" w:evenVBand="0" w:oddHBand="0" w:evenHBand="0" w:firstRowFirstColumn="0" w:firstRowLastColumn="0" w:lastRowFirstColumn="0" w:lastRowLastColumn="0"/>
              <w:rPr>
                <w:b w:val="0"/>
                <w:bCs w:val="0"/>
                <w:lang w:val="en-US"/>
              </w:rPr>
            </w:pPr>
            <w:proofErr w:type="spellStart"/>
            <w:r w:rsidRPr="17B7465E">
              <w:rPr>
                <w:lang w:val="en-US"/>
              </w:rPr>
              <w:t>Détails</w:t>
            </w:r>
            <w:proofErr w:type="spellEnd"/>
          </w:p>
        </w:tc>
      </w:tr>
      <w:tr w:rsidR="17B7465E" w:rsidRPr="00DC6E23" w14:paraId="603EB5AC"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470" w:type="dxa"/>
          </w:tcPr>
          <w:p w14:paraId="48DAB5A9" w14:textId="671CE495" w:rsidR="17B7465E" w:rsidRDefault="17B7465E" w:rsidP="17B7465E">
            <w:pPr>
              <w:spacing w:before="0" w:after="0"/>
              <w:rPr>
                <w:lang w:val="en-US"/>
              </w:rPr>
            </w:pPr>
            <w:r w:rsidRPr="17B7465E">
              <w:rPr>
                <w:lang w:val="en-US"/>
              </w:rPr>
              <w:t xml:space="preserve">Vue </w:t>
            </w:r>
            <w:proofErr w:type="spellStart"/>
            <w:r w:rsidRPr="17B7465E">
              <w:rPr>
                <w:lang w:val="en-US"/>
              </w:rPr>
              <w:t>d’ensemble</w:t>
            </w:r>
            <w:proofErr w:type="spellEnd"/>
          </w:p>
        </w:tc>
        <w:tc>
          <w:tcPr>
            <w:tcW w:w="5038" w:type="dxa"/>
          </w:tcPr>
          <w:p w14:paraId="3B186DE6" w14:textId="0C40012B" w:rsidR="17B7465E" w:rsidRDefault="17B7465E"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proofErr w:type="spellStart"/>
            <w:r w:rsidRPr="17B7465E">
              <w:rPr>
                <w:lang w:val="en-US"/>
              </w:rPr>
              <w:t>Périmètre</w:t>
            </w:r>
            <w:proofErr w:type="spellEnd"/>
          </w:p>
        </w:tc>
        <w:tc>
          <w:tcPr>
            <w:tcW w:w="2552" w:type="dxa"/>
          </w:tcPr>
          <w:p w14:paraId="6C32CED4" w14:textId="643CC9F5" w:rsidR="17B7465E" w:rsidRPr="00DC6E23" w:rsidRDefault="17B7465E" w:rsidP="17B7465E">
            <w:pPr>
              <w:spacing w:before="0" w:after="0"/>
              <w:cnfStyle w:val="000000000000" w:firstRow="0" w:lastRow="0" w:firstColumn="0" w:lastColumn="0" w:oddVBand="0" w:evenVBand="0" w:oddHBand="0" w:evenHBand="0" w:firstRowFirstColumn="0" w:firstRowLastColumn="0" w:lastRowFirstColumn="0" w:lastRowLastColumn="0"/>
              <w:rPr>
                <w:lang w:val="fr-FR"/>
              </w:rPr>
            </w:pPr>
            <w:r w:rsidRPr="00DC6E23">
              <w:rPr>
                <w:lang w:val="fr-FR"/>
              </w:rPr>
              <w:t>Chemin de fer double voie multi-usagers et port de transbordement</w:t>
            </w:r>
          </w:p>
        </w:tc>
      </w:tr>
      <w:tr w:rsidR="17B7465E" w14:paraId="310B8B29"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470" w:type="dxa"/>
          </w:tcPr>
          <w:p w14:paraId="31712705" w14:textId="32619C81" w:rsidR="42315A41" w:rsidRDefault="42315A41">
            <w:r>
              <w:t>CTG Infra</w:t>
            </w:r>
          </w:p>
        </w:tc>
        <w:tc>
          <w:tcPr>
            <w:tcW w:w="5038" w:type="dxa"/>
          </w:tcPr>
          <w:p w14:paraId="5E555A06" w14:textId="51D03AE5" w:rsidR="17B7465E" w:rsidRPr="00DC6E23" w:rsidRDefault="17B7465E" w:rsidP="17B7465E">
            <w:pPr>
              <w:spacing w:before="0" w:after="0"/>
              <w:cnfStyle w:val="000000000000" w:firstRow="0" w:lastRow="0" w:firstColumn="0" w:lastColumn="0" w:oddVBand="0" w:evenVBand="0" w:oddHBand="0" w:evenHBand="0" w:firstRowFirstColumn="0" w:firstRowLastColumn="0" w:lastRowFirstColumn="0" w:lastRowLastColumn="0"/>
              <w:rPr>
                <w:lang w:val="fr-FR"/>
              </w:rPr>
            </w:pPr>
            <w:r w:rsidRPr="00DC6E23">
              <w:rPr>
                <w:lang w:val="fr-FR"/>
              </w:rPr>
              <w:t>Coûts d’exploitation (</w:t>
            </w:r>
            <w:r w:rsidR="1C246F93" w:rsidRPr="00DC6E23">
              <w:rPr>
                <w:lang w:val="fr-FR"/>
              </w:rPr>
              <w:t xml:space="preserve">Durée de Vie de la Mine ou </w:t>
            </w:r>
            <w:r w:rsidRPr="00DC6E23">
              <w:rPr>
                <w:lang w:val="fr-FR"/>
              </w:rPr>
              <w:t>LOM)</w:t>
            </w:r>
          </w:p>
        </w:tc>
        <w:tc>
          <w:tcPr>
            <w:tcW w:w="2552" w:type="dxa"/>
          </w:tcPr>
          <w:p w14:paraId="7CE22713" w14:textId="23E3256C" w:rsidR="1FD28DE7" w:rsidRDefault="1FD28DE7"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r w:rsidRPr="17B7465E">
              <w:rPr>
                <w:lang w:val="en-US"/>
              </w:rPr>
              <w:t>Rail:</w:t>
            </w:r>
            <w:r w:rsidR="17B7465E" w:rsidRPr="17B7465E">
              <w:rPr>
                <w:lang w:val="en-US"/>
              </w:rPr>
              <w:t xml:space="preserve"> 8 USD/</w:t>
            </w:r>
            <w:proofErr w:type="spellStart"/>
            <w:proofErr w:type="gramStart"/>
            <w:r w:rsidR="7A5E9FBD" w:rsidRPr="17B7465E">
              <w:rPr>
                <w:lang w:val="en-US"/>
              </w:rPr>
              <w:t>wmt</w:t>
            </w:r>
            <w:proofErr w:type="spellEnd"/>
            <w:r w:rsidR="17B7465E" w:rsidRPr="17B7465E">
              <w:rPr>
                <w:lang w:val="en-US"/>
              </w:rPr>
              <w:t xml:space="preserve"> ;</w:t>
            </w:r>
            <w:proofErr w:type="gramEnd"/>
            <w:r w:rsidR="17B7465E" w:rsidRPr="17B7465E">
              <w:rPr>
                <w:lang w:val="en-US"/>
              </w:rPr>
              <w:t xml:space="preserve"> </w:t>
            </w:r>
            <w:r w:rsidR="3B7C5957" w:rsidRPr="17B7465E">
              <w:rPr>
                <w:lang w:val="en-US"/>
              </w:rPr>
              <w:t>Port:</w:t>
            </w:r>
            <w:r w:rsidR="17B7465E" w:rsidRPr="17B7465E">
              <w:rPr>
                <w:lang w:val="en-US"/>
              </w:rPr>
              <w:t xml:space="preserve"> 7 USD/</w:t>
            </w:r>
            <w:proofErr w:type="spellStart"/>
            <w:r w:rsidR="716D0EAC" w:rsidRPr="17B7465E">
              <w:rPr>
                <w:lang w:val="en-US"/>
              </w:rPr>
              <w:t>wmt</w:t>
            </w:r>
            <w:proofErr w:type="spellEnd"/>
          </w:p>
        </w:tc>
      </w:tr>
      <w:tr w:rsidR="17B7465E" w14:paraId="468C555D"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470" w:type="dxa"/>
          </w:tcPr>
          <w:p w14:paraId="254B0593" w14:textId="32A0C472" w:rsidR="162EDE5F" w:rsidRDefault="162EDE5F">
            <w:r>
              <w:t>CTG Infra</w:t>
            </w:r>
          </w:p>
        </w:tc>
        <w:tc>
          <w:tcPr>
            <w:tcW w:w="5038" w:type="dxa"/>
          </w:tcPr>
          <w:p w14:paraId="1E40BE47" w14:textId="1E379BFC" w:rsidR="17B7465E" w:rsidRDefault="17B7465E"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r w:rsidRPr="17B7465E">
              <w:rPr>
                <w:lang w:val="en-US"/>
              </w:rPr>
              <w:t xml:space="preserve">CAPEX de </w:t>
            </w:r>
            <w:proofErr w:type="spellStart"/>
            <w:r w:rsidRPr="17B7465E">
              <w:rPr>
                <w:lang w:val="en-US"/>
              </w:rPr>
              <w:t>maintien</w:t>
            </w:r>
            <w:proofErr w:type="spellEnd"/>
            <w:r w:rsidRPr="17B7465E">
              <w:rPr>
                <w:lang w:val="en-US"/>
              </w:rPr>
              <w:t xml:space="preserve"> (LOM)</w:t>
            </w:r>
          </w:p>
        </w:tc>
        <w:tc>
          <w:tcPr>
            <w:tcW w:w="2552" w:type="dxa"/>
          </w:tcPr>
          <w:p w14:paraId="6D8D8CD1" w14:textId="1077A846" w:rsidR="17B7465E" w:rsidRDefault="17B7465E"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r w:rsidRPr="17B7465E">
              <w:rPr>
                <w:lang w:val="en-US"/>
              </w:rPr>
              <w:t>2 USD/</w:t>
            </w:r>
            <w:proofErr w:type="spellStart"/>
            <w:r w:rsidR="48B88384" w:rsidRPr="17B7465E">
              <w:rPr>
                <w:lang w:val="en-US"/>
              </w:rPr>
              <w:t>wmt</w:t>
            </w:r>
            <w:proofErr w:type="spellEnd"/>
          </w:p>
        </w:tc>
      </w:tr>
      <w:tr w:rsidR="17B7465E" w14:paraId="753B0B05"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470" w:type="dxa"/>
          </w:tcPr>
          <w:p w14:paraId="062CE9A7" w14:textId="129CAC11" w:rsidR="6F70412E" w:rsidRDefault="6F70412E" w:rsidP="17B7465E">
            <w:pPr>
              <w:spacing w:before="0" w:after="0"/>
              <w:rPr>
                <w:lang w:val="en-US"/>
              </w:rPr>
            </w:pPr>
            <w:r w:rsidRPr="17B7465E">
              <w:rPr>
                <w:lang w:val="en-US"/>
              </w:rPr>
              <w:t xml:space="preserve"> Mine </w:t>
            </w:r>
            <w:proofErr w:type="spellStart"/>
            <w:r w:rsidRPr="17B7465E">
              <w:rPr>
                <w:lang w:val="en-US"/>
              </w:rPr>
              <w:t>Simfer</w:t>
            </w:r>
            <w:proofErr w:type="spellEnd"/>
          </w:p>
        </w:tc>
        <w:tc>
          <w:tcPr>
            <w:tcW w:w="5038" w:type="dxa"/>
          </w:tcPr>
          <w:p w14:paraId="14732760" w14:textId="7D0F5858" w:rsidR="67A65E84" w:rsidRPr="00DC6E23" w:rsidRDefault="67A65E84" w:rsidP="17B7465E">
            <w:pPr>
              <w:spacing w:before="0" w:after="0"/>
              <w:cnfStyle w:val="000000000000" w:firstRow="0" w:lastRow="0" w:firstColumn="0" w:lastColumn="0" w:oddVBand="0" w:evenVBand="0" w:oddHBand="0" w:evenHBand="0" w:firstRowFirstColumn="0" w:firstRowLastColumn="0" w:lastRowFirstColumn="0" w:lastRowLastColumn="0"/>
              <w:rPr>
                <w:lang w:val="fr-FR"/>
              </w:rPr>
            </w:pPr>
            <w:r w:rsidRPr="00DC6E23">
              <w:rPr>
                <w:lang w:val="fr-FR"/>
              </w:rPr>
              <w:t xml:space="preserve"> Coûts d’exploitation (Durée de Vie de la Mine ou LOM)  </w:t>
            </w:r>
          </w:p>
        </w:tc>
        <w:tc>
          <w:tcPr>
            <w:tcW w:w="2552" w:type="dxa"/>
          </w:tcPr>
          <w:p w14:paraId="76BAF604" w14:textId="776B64C5" w:rsidR="67A65E84" w:rsidRDefault="67A65E84" w:rsidP="17B7465E">
            <w:pPr>
              <w:spacing w:before="0" w:after="0"/>
              <w:cnfStyle w:val="000000000000" w:firstRow="0" w:lastRow="0" w:firstColumn="0" w:lastColumn="0" w:oddVBand="0" w:evenVBand="0" w:oddHBand="0" w:evenHBand="0" w:firstRowFirstColumn="0" w:firstRowLastColumn="0" w:lastRowFirstColumn="0" w:lastRowLastColumn="0"/>
              <w:rPr>
                <w:lang w:val="fr-FR"/>
              </w:rPr>
            </w:pPr>
            <w:r w:rsidRPr="17B7465E">
              <w:rPr>
                <w:lang w:val="fr-FR"/>
              </w:rPr>
              <w:t>10$/</w:t>
            </w:r>
            <w:proofErr w:type="spellStart"/>
            <w:r w:rsidRPr="17B7465E">
              <w:rPr>
                <w:lang w:val="fr-FR"/>
              </w:rPr>
              <w:t>wmt</w:t>
            </w:r>
            <w:proofErr w:type="spellEnd"/>
            <w:r w:rsidRPr="17B7465E">
              <w:rPr>
                <w:lang w:val="fr-FR"/>
              </w:rPr>
              <w:t xml:space="preserve"> </w:t>
            </w:r>
          </w:p>
        </w:tc>
      </w:tr>
      <w:tr w:rsidR="17B7465E" w14:paraId="4E8DE0DD" w14:textId="77777777" w:rsidTr="17B7465E">
        <w:trPr>
          <w:trHeight w:val="300"/>
        </w:trPr>
        <w:tc>
          <w:tcPr>
            <w:cnfStyle w:val="001000000000" w:firstRow="0" w:lastRow="0" w:firstColumn="1" w:lastColumn="0" w:oddVBand="0" w:evenVBand="0" w:oddHBand="0" w:evenHBand="0" w:firstRowFirstColumn="0" w:firstRowLastColumn="0" w:lastRowFirstColumn="0" w:lastRowLastColumn="0"/>
            <w:tcW w:w="1470" w:type="dxa"/>
          </w:tcPr>
          <w:p w14:paraId="739436A7" w14:textId="0A4C9741" w:rsidR="29CFAE52" w:rsidRDefault="29CFAE52" w:rsidP="17B7465E">
            <w:r w:rsidRPr="17B7465E">
              <w:rPr>
                <w:lang w:val="en-US"/>
              </w:rPr>
              <w:t xml:space="preserve">Mine </w:t>
            </w:r>
            <w:proofErr w:type="spellStart"/>
            <w:r w:rsidRPr="17B7465E">
              <w:rPr>
                <w:lang w:val="en-US"/>
              </w:rPr>
              <w:t>Simfer</w:t>
            </w:r>
            <w:proofErr w:type="spellEnd"/>
          </w:p>
        </w:tc>
        <w:tc>
          <w:tcPr>
            <w:tcW w:w="5038" w:type="dxa"/>
          </w:tcPr>
          <w:p w14:paraId="68F39D8E" w14:textId="6CAE97CB" w:rsidR="29CFAE52" w:rsidRDefault="29CFAE52"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r w:rsidRPr="17B7465E">
              <w:rPr>
                <w:lang w:val="en-US"/>
              </w:rPr>
              <w:t xml:space="preserve">CAPEX de </w:t>
            </w:r>
            <w:proofErr w:type="spellStart"/>
            <w:r w:rsidRPr="17B7465E">
              <w:rPr>
                <w:lang w:val="en-US"/>
              </w:rPr>
              <w:t>maintien</w:t>
            </w:r>
            <w:proofErr w:type="spellEnd"/>
            <w:r w:rsidRPr="17B7465E">
              <w:rPr>
                <w:lang w:val="en-US"/>
              </w:rPr>
              <w:t xml:space="preserve"> (LOM)</w:t>
            </w:r>
          </w:p>
        </w:tc>
        <w:tc>
          <w:tcPr>
            <w:tcW w:w="2552" w:type="dxa"/>
          </w:tcPr>
          <w:p w14:paraId="6A87AC76" w14:textId="1E414087" w:rsidR="4DAA499F" w:rsidRDefault="4DAA499F" w:rsidP="17B7465E">
            <w:pPr>
              <w:spacing w:before="0" w:after="0"/>
              <w:cnfStyle w:val="000000000000" w:firstRow="0" w:lastRow="0" w:firstColumn="0" w:lastColumn="0" w:oddVBand="0" w:evenVBand="0" w:oddHBand="0" w:evenHBand="0" w:firstRowFirstColumn="0" w:firstRowLastColumn="0" w:lastRowFirstColumn="0" w:lastRowLastColumn="0"/>
              <w:rPr>
                <w:lang w:val="en-US"/>
              </w:rPr>
            </w:pPr>
            <w:r w:rsidRPr="17B7465E">
              <w:rPr>
                <w:lang w:val="en-US"/>
              </w:rPr>
              <w:t>1 USD/</w:t>
            </w:r>
            <w:proofErr w:type="spellStart"/>
            <w:r w:rsidRPr="17B7465E">
              <w:rPr>
                <w:lang w:val="en-US"/>
              </w:rPr>
              <w:t>wmt</w:t>
            </w:r>
            <w:proofErr w:type="spellEnd"/>
          </w:p>
          <w:p w14:paraId="4C3C1244" w14:textId="2C66D40B" w:rsidR="17B7465E" w:rsidRDefault="17B7465E" w:rsidP="17B7465E">
            <w:pPr>
              <w:cnfStyle w:val="000000000000" w:firstRow="0" w:lastRow="0" w:firstColumn="0" w:lastColumn="0" w:oddVBand="0" w:evenVBand="0" w:oddHBand="0" w:evenHBand="0" w:firstRowFirstColumn="0" w:firstRowLastColumn="0" w:lastRowFirstColumn="0" w:lastRowLastColumn="0"/>
              <w:rPr>
                <w:lang w:val="fr-FR"/>
              </w:rPr>
            </w:pPr>
          </w:p>
        </w:tc>
      </w:tr>
    </w:tbl>
    <w:p w14:paraId="3F1C7C87" w14:textId="10754251" w:rsidR="00DD24E6" w:rsidRPr="00DC6E23" w:rsidRDefault="2E6721EB" w:rsidP="17B7465E">
      <w:pPr>
        <w:spacing w:line="259" w:lineRule="auto"/>
        <w:jc w:val="center"/>
        <w:rPr>
          <w:lang w:val="fr-FR"/>
        </w:rPr>
      </w:pPr>
      <w:proofErr w:type="gramStart"/>
      <w:r w:rsidRPr="17B7465E">
        <w:rPr>
          <w:lang w:val="fr-FR"/>
        </w:rPr>
        <w:t>Source:</w:t>
      </w:r>
      <w:proofErr w:type="gramEnd"/>
      <w:r w:rsidR="6C776D0B" w:rsidRPr="17B7465E">
        <w:rPr>
          <w:lang w:val="fr-FR"/>
        </w:rPr>
        <w:t xml:space="preserve"> </w:t>
      </w:r>
      <w:hyperlink r:id="rId40" w:history="1">
        <w:r w:rsidR="6C776D0B" w:rsidRPr="17B7465E">
          <w:rPr>
            <w:rStyle w:val="Lienhypertexte"/>
            <w:lang w:val="fr-FR"/>
          </w:rPr>
          <w:t>Séminaire des investisseurs de Rio Tinto, décembre 2023</w:t>
        </w:r>
      </w:hyperlink>
    </w:p>
    <w:p w14:paraId="5F22CBD3" w14:textId="3698BB7D" w:rsidR="25050041" w:rsidRPr="00DC6E23" w:rsidRDefault="5180F8F2" w:rsidP="035BFF2E">
      <w:pPr>
        <w:pStyle w:val="Paragraphedeliste"/>
        <w:numPr>
          <w:ilvl w:val="0"/>
          <w:numId w:val="1"/>
        </w:numPr>
        <w:spacing w:line="259" w:lineRule="auto"/>
        <w:rPr>
          <w:lang w:val="fr-FR"/>
        </w:rPr>
      </w:pPr>
      <w:r w:rsidRPr="035BFF2E">
        <w:rPr>
          <w:lang w:val="fr-FR"/>
        </w:rPr>
        <w:t xml:space="preserve">Le </w:t>
      </w:r>
      <w:r w:rsidRPr="035BFF2E">
        <w:rPr>
          <w:b/>
          <w:bCs/>
          <w:lang w:val="fr-FR"/>
        </w:rPr>
        <w:t xml:space="preserve">coût d’exploitation prévisionnel </w:t>
      </w:r>
      <w:r w:rsidR="643C0F3E" w:rsidRPr="035BFF2E">
        <w:rPr>
          <w:b/>
          <w:bCs/>
          <w:lang w:val="fr-FR"/>
        </w:rPr>
        <w:t>(OPEX)</w:t>
      </w:r>
      <w:r w:rsidR="643C0F3E" w:rsidRPr="035BFF2E">
        <w:rPr>
          <w:lang w:val="fr-FR"/>
        </w:rPr>
        <w:t xml:space="preserve"> </w:t>
      </w:r>
      <w:r w:rsidRPr="035BFF2E">
        <w:rPr>
          <w:lang w:val="fr-FR"/>
        </w:rPr>
        <w:t xml:space="preserve">de la mine de </w:t>
      </w:r>
      <w:proofErr w:type="spellStart"/>
      <w:r w:rsidRPr="035BFF2E">
        <w:rPr>
          <w:lang w:val="fr-FR"/>
        </w:rPr>
        <w:t>Simfer</w:t>
      </w:r>
      <w:proofErr w:type="spellEnd"/>
      <w:r w:rsidRPr="035BFF2E">
        <w:rPr>
          <w:lang w:val="fr-FR"/>
        </w:rPr>
        <w:t xml:space="preserve"> SA est estimé à 10,3 USD par tonne humide de produit sur l’ensemble de la durée de vie de la mine. Le coût d’exploitation des infrastructures CTG est estimé à 14,2 USD par tonne</w:t>
      </w:r>
      <w:r w:rsidR="1A438CA9" w:rsidRPr="035BFF2E">
        <w:rPr>
          <w:lang w:val="fr-FR"/>
        </w:rPr>
        <w:t xml:space="preserve"> humide</w:t>
      </w:r>
      <w:r w:rsidRPr="035BFF2E">
        <w:rPr>
          <w:lang w:val="fr-FR"/>
        </w:rPr>
        <w:t xml:space="preserve">, résultant </w:t>
      </w:r>
      <w:r w:rsidRPr="035BFF2E">
        <w:rPr>
          <w:lang w:val="fr-FR"/>
        </w:rPr>
        <w:lastRenderedPageBreak/>
        <w:t>de la combinaison de coûts portuaires de 6,7 USD par tonne</w:t>
      </w:r>
      <w:r w:rsidR="4E6E70B3" w:rsidRPr="035BFF2E">
        <w:rPr>
          <w:lang w:val="fr-FR"/>
        </w:rPr>
        <w:t xml:space="preserve"> humide</w:t>
      </w:r>
      <w:r w:rsidRPr="035BFF2E">
        <w:rPr>
          <w:lang w:val="fr-FR"/>
        </w:rPr>
        <w:t xml:space="preserve"> et de coûts ferroviaires de 7,5 USD par tonne</w:t>
      </w:r>
      <w:r w:rsidR="43168B33" w:rsidRPr="035BFF2E">
        <w:rPr>
          <w:lang w:val="fr-FR"/>
        </w:rPr>
        <w:t xml:space="preserve"> humide</w:t>
      </w:r>
      <w:r w:rsidRPr="035BFF2E">
        <w:rPr>
          <w:lang w:val="fr-FR"/>
        </w:rPr>
        <w:t>.</w:t>
      </w:r>
    </w:p>
    <w:p w14:paraId="41971E95" w14:textId="49947860" w:rsidR="25050041" w:rsidRPr="00DC6E23" w:rsidRDefault="5180F8F2" w:rsidP="035BFF2E">
      <w:pPr>
        <w:numPr>
          <w:ilvl w:val="0"/>
          <w:numId w:val="1"/>
        </w:numPr>
        <w:spacing w:line="259" w:lineRule="auto"/>
        <w:rPr>
          <w:lang w:val="fr-FR"/>
        </w:rPr>
      </w:pPr>
      <w:r w:rsidRPr="035BFF2E">
        <w:rPr>
          <w:lang w:val="fr-FR"/>
        </w:rPr>
        <w:t>Le capital de maintien de la mine est estimé à 0,7 USD par tonne</w:t>
      </w:r>
      <w:r w:rsidR="03D8B3E2" w:rsidRPr="035BFF2E">
        <w:rPr>
          <w:lang w:val="fr-FR"/>
        </w:rPr>
        <w:t xml:space="preserve"> humide</w:t>
      </w:r>
      <w:r w:rsidRPr="035BFF2E">
        <w:rPr>
          <w:lang w:val="fr-FR"/>
        </w:rPr>
        <w:t>. Le capital de maintien ferroviaire est estimé à 0,9 USD par tonne</w:t>
      </w:r>
      <w:r w:rsidR="1B1299F5" w:rsidRPr="035BFF2E">
        <w:rPr>
          <w:lang w:val="fr-FR"/>
        </w:rPr>
        <w:t xml:space="preserve"> humide</w:t>
      </w:r>
      <w:r w:rsidRPr="035BFF2E">
        <w:rPr>
          <w:lang w:val="fr-FR"/>
        </w:rPr>
        <w:t>, tandis que le capital de maintien portuaire est estimé à 0,5 USD par tonne</w:t>
      </w:r>
      <w:r w:rsidR="1AE5A7D4" w:rsidRPr="035BFF2E">
        <w:rPr>
          <w:lang w:val="fr-FR"/>
        </w:rPr>
        <w:t xml:space="preserve"> humide</w:t>
      </w:r>
      <w:r w:rsidRPr="035BFF2E">
        <w:rPr>
          <w:lang w:val="fr-FR"/>
        </w:rPr>
        <w:t>.</w:t>
      </w:r>
    </w:p>
    <w:p w14:paraId="3FC0A126" w14:textId="0D8E9FE3" w:rsidR="71CC1D78" w:rsidRPr="00DC6E23" w:rsidRDefault="158A44E3" w:rsidP="035BFF2E">
      <w:pPr>
        <w:numPr>
          <w:ilvl w:val="0"/>
          <w:numId w:val="1"/>
        </w:numPr>
        <w:spacing w:line="259" w:lineRule="auto"/>
        <w:rPr>
          <w:lang w:val="fr-FR"/>
        </w:rPr>
      </w:pPr>
      <w:r w:rsidRPr="035BFF2E">
        <w:rPr>
          <w:lang w:val="fr-FR"/>
        </w:rPr>
        <w:t>La troisième étape (tertiaire) des opérations de concassage et de calibrage sera externalisée et réalisée en Chine, pour un coût additionnel de 2,1 USD par tonne sèche (</w:t>
      </w:r>
      <w:proofErr w:type="spellStart"/>
      <w:r w:rsidRPr="035BFF2E">
        <w:rPr>
          <w:lang w:val="fr-FR"/>
        </w:rPr>
        <w:t>dmt</w:t>
      </w:r>
      <w:proofErr w:type="spellEnd"/>
      <w:r w:rsidRPr="035BFF2E">
        <w:rPr>
          <w:lang w:val="fr-FR"/>
        </w:rPr>
        <w:t>), en valeur réelle 2023.</w:t>
      </w:r>
      <w:r w:rsidR="3E8D467F" w:rsidRPr="035BFF2E">
        <w:rPr>
          <w:lang w:val="fr-FR"/>
        </w:rPr>
        <w:t xml:space="preserve"> </w:t>
      </w:r>
      <w:r w:rsidRPr="035BFF2E">
        <w:rPr>
          <w:lang w:val="fr-FR"/>
        </w:rPr>
        <w:t>Les coûts de fret sont estimés à 17 USD par tonne humide.</w:t>
      </w:r>
    </w:p>
    <w:p w14:paraId="21F092AB" w14:textId="6C560FB3" w:rsidR="14188617" w:rsidRPr="00DC6E23" w:rsidRDefault="14188617" w:rsidP="035BFF2E">
      <w:pPr>
        <w:numPr>
          <w:ilvl w:val="0"/>
          <w:numId w:val="1"/>
        </w:numPr>
        <w:spacing w:line="259" w:lineRule="auto"/>
        <w:rPr>
          <w:lang w:val="fr-FR"/>
        </w:rPr>
      </w:pPr>
      <w:r w:rsidRPr="035BFF2E">
        <w:rPr>
          <w:lang w:val="fr-FR"/>
        </w:rPr>
        <w:t xml:space="preserve">Ainsi, </w:t>
      </w:r>
      <w:r w:rsidR="1CEFA2DC" w:rsidRPr="035BFF2E">
        <w:rPr>
          <w:lang w:val="fr-FR"/>
        </w:rPr>
        <w:t>l</w:t>
      </w:r>
      <w:r w:rsidR="50F5F0E2" w:rsidRPr="035BFF2E">
        <w:rPr>
          <w:lang w:val="fr-FR"/>
        </w:rPr>
        <w:t>es coûts supplémentaires supportés par les sociétés minières, au-delà des frais ferroviaires et portuaires de CGT</w:t>
      </w:r>
      <w:r w:rsidR="27FDD5A7" w:rsidRPr="035BFF2E">
        <w:rPr>
          <w:lang w:val="fr-FR"/>
        </w:rPr>
        <w:t xml:space="preserve"> sont estimés dans le modèle à 35,</w:t>
      </w:r>
      <w:r w:rsidR="150E4EDD" w:rsidRPr="035BFF2E">
        <w:rPr>
          <w:lang w:val="fr-FR"/>
        </w:rPr>
        <w:t>47</w:t>
      </w:r>
      <w:r w:rsidR="27FDD5A7" w:rsidRPr="035BFF2E">
        <w:rPr>
          <w:lang w:val="fr-FR"/>
        </w:rPr>
        <w:t xml:space="preserve"> USD/t</w:t>
      </w:r>
      <w:r w:rsidR="64CB06D2" w:rsidRPr="035BFF2E">
        <w:rPr>
          <w:lang w:val="fr-FR"/>
        </w:rPr>
        <w:t>onne sèche</w:t>
      </w:r>
      <w:r w:rsidR="27FDD5A7" w:rsidRPr="035BFF2E">
        <w:rPr>
          <w:lang w:val="fr-FR"/>
        </w:rPr>
        <w:t xml:space="preserve"> (réel 2023) pour </w:t>
      </w:r>
      <w:proofErr w:type="spellStart"/>
      <w:r w:rsidR="27FDD5A7" w:rsidRPr="035BFF2E">
        <w:rPr>
          <w:lang w:val="fr-FR"/>
        </w:rPr>
        <w:t>Simfer</w:t>
      </w:r>
      <w:proofErr w:type="spellEnd"/>
      <w:r w:rsidR="27FDD5A7" w:rsidRPr="035BFF2E">
        <w:rPr>
          <w:lang w:val="fr-FR"/>
        </w:rPr>
        <w:t xml:space="preserve"> et WCS</w:t>
      </w:r>
      <w:r w:rsidR="50F5F0E2" w:rsidRPr="035BFF2E">
        <w:rPr>
          <w:lang w:val="fr-FR"/>
        </w:rPr>
        <w:t>. D'après nos sources, cela comprend les frais d'expédition et de transport, ainsi que les frais supplémentaires de concassage</w:t>
      </w:r>
      <w:r w:rsidR="77B09342" w:rsidRPr="035BFF2E">
        <w:rPr>
          <w:lang w:val="fr-FR"/>
        </w:rPr>
        <w:t xml:space="preserve"> en Chine</w:t>
      </w:r>
      <w:r w:rsidR="50F5F0E2" w:rsidRPr="035BFF2E">
        <w:rPr>
          <w:lang w:val="fr-FR"/>
        </w:rPr>
        <w:t>.</w:t>
      </w:r>
    </w:p>
    <w:p w14:paraId="5507BC7A" w14:textId="7E5BBA22" w:rsidR="47BF64CC" w:rsidRDefault="3EE198EF" w:rsidP="17B7465E">
      <w:pPr>
        <w:pStyle w:val="Paragraphedeliste"/>
        <w:numPr>
          <w:ilvl w:val="0"/>
          <w:numId w:val="11"/>
        </w:numPr>
        <w:spacing w:line="259" w:lineRule="auto"/>
        <w:jc w:val="both"/>
        <w:rPr>
          <w:lang w:val="fr-FR"/>
        </w:rPr>
      </w:pPr>
      <w:r w:rsidRPr="035BFF2E">
        <w:rPr>
          <w:lang w:val="fr-FR"/>
        </w:rPr>
        <w:t>Dans le modèle, les coûts (C) exprimés en $/</w:t>
      </w:r>
      <w:proofErr w:type="spellStart"/>
      <w:r w:rsidRPr="035BFF2E">
        <w:rPr>
          <w:lang w:val="fr-FR"/>
        </w:rPr>
        <w:t>wmt</w:t>
      </w:r>
      <w:proofErr w:type="spellEnd"/>
      <w:r w:rsidRPr="035BFF2E">
        <w:rPr>
          <w:lang w:val="fr-FR"/>
        </w:rPr>
        <w:t xml:space="preserve"> (tonne humide) ont été convertis en $/</w:t>
      </w:r>
      <w:proofErr w:type="spellStart"/>
      <w:r w:rsidRPr="035BFF2E">
        <w:rPr>
          <w:lang w:val="fr-FR"/>
        </w:rPr>
        <w:t>dmt</w:t>
      </w:r>
      <w:proofErr w:type="spellEnd"/>
      <w:r w:rsidRPr="035BFF2E">
        <w:rPr>
          <w:lang w:val="fr-FR"/>
        </w:rPr>
        <w:t xml:space="preserve"> (tonne sèche) selon la formule : </w:t>
      </w:r>
      <w:r w:rsidR="47BF64CC" w:rsidRPr="00DC6E23">
        <w:rPr>
          <w:lang w:val="fr-FR"/>
        </w:rPr>
        <w:br/>
      </w:r>
      <w:r w:rsidRPr="035BFF2E">
        <w:rPr>
          <w:lang w:val="fr-FR"/>
        </w:rPr>
        <w:t xml:space="preserve"> </w:t>
      </w:r>
      <w:proofErr w:type="spellStart"/>
      <w:r w:rsidRPr="035BFF2E">
        <w:rPr>
          <w:lang w:val="fr-FR"/>
        </w:rPr>
        <w:t>C</w:t>
      </w:r>
      <w:r w:rsidRPr="035BFF2E">
        <w:rPr>
          <w:vertAlign w:val="subscript"/>
          <w:lang w:val="fr-FR"/>
        </w:rPr>
        <w:t>dmt</w:t>
      </w:r>
      <w:proofErr w:type="spellEnd"/>
      <w:r w:rsidRPr="035BFF2E">
        <w:rPr>
          <w:lang w:val="fr-FR"/>
        </w:rPr>
        <w:t>=</w:t>
      </w:r>
      <w:proofErr w:type="spellStart"/>
      <w:r w:rsidRPr="035BFF2E">
        <w:rPr>
          <w:lang w:val="fr-FR"/>
        </w:rPr>
        <w:t>C</w:t>
      </w:r>
      <w:r w:rsidRPr="035BFF2E">
        <w:rPr>
          <w:vertAlign w:val="subscript"/>
          <w:lang w:val="fr-FR"/>
        </w:rPr>
        <w:t>wmt</w:t>
      </w:r>
      <w:proofErr w:type="spellEnd"/>
      <w:r w:rsidRPr="035BFF2E">
        <w:rPr>
          <w:lang w:val="fr-FR"/>
        </w:rPr>
        <w:t xml:space="preserve">/(1−H) où H représente le taux d’humidité moyen du minerai. Pour le </w:t>
      </w:r>
      <w:proofErr w:type="spellStart"/>
      <w:r w:rsidRPr="035BFF2E">
        <w:rPr>
          <w:lang w:val="fr-FR"/>
        </w:rPr>
        <w:t>minierai</w:t>
      </w:r>
      <w:proofErr w:type="spellEnd"/>
      <w:r w:rsidRPr="035BFF2E">
        <w:rPr>
          <w:lang w:val="fr-FR"/>
        </w:rPr>
        <w:t xml:space="preserve"> de </w:t>
      </w:r>
      <w:proofErr w:type="spellStart"/>
      <w:r w:rsidRPr="035BFF2E">
        <w:rPr>
          <w:lang w:val="fr-FR"/>
        </w:rPr>
        <w:t>Simandou</w:t>
      </w:r>
      <w:proofErr w:type="spellEnd"/>
      <w:r w:rsidRPr="035BFF2E">
        <w:rPr>
          <w:lang w:val="fr-FR"/>
        </w:rPr>
        <w:t>, nous considérons une humidité de 8,5%.</w:t>
      </w:r>
    </w:p>
    <w:p w14:paraId="29E3AA0A" w14:textId="0C700050" w:rsidR="559227D4" w:rsidRDefault="559227D4" w:rsidP="035BFF2E">
      <w:pPr>
        <w:pStyle w:val="Paragraphedeliste"/>
        <w:numPr>
          <w:ilvl w:val="0"/>
          <w:numId w:val="11"/>
        </w:numPr>
        <w:spacing w:line="259" w:lineRule="auto"/>
        <w:jc w:val="both"/>
        <w:rPr>
          <w:lang w:val="fr-FR"/>
        </w:rPr>
      </w:pPr>
      <w:r w:rsidRPr="035BFF2E">
        <w:rPr>
          <w:lang w:val="fr-FR"/>
        </w:rPr>
        <w:t>Les coûts de fermeture et de réhabilitation sont estimés à 396 millions USD pour chacune des mines.</w:t>
      </w:r>
    </w:p>
    <w:p w14:paraId="429A042A" w14:textId="56CC0C57" w:rsidR="00386121" w:rsidRPr="00C70FD2" w:rsidRDefault="3A7B43E1" w:rsidP="035BFF2E">
      <w:pPr>
        <w:numPr>
          <w:ilvl w:val="0"/>
          <w:numId w:val="5"/>
        </w:numPr>
        <w:spacing w:line="259" w:lineRule="auto"/>
        <w:jc w:val="both"/>
        <w:rPr>
          <w:lang w:val="fr-FR"/>
        </w:rPr>
      </w:pPr>
      <w:r w:rsidRPr="035BFF2E">
        <w:rPr>
          <w:b/>
          <w:bCs/>
          <w:lang w:val="fr-FR"/>
        </w:rPr>
        <w:t xml:space="preserve">Droits de </w:t>
      </w:r>
      <w:proofErr w:type="gramStart"/>
      <w:r w:rsidR="4DC2847B" w:rsidRPr="035BFF2E">
        <w:rPr>
          <w:b/>
          <w:bCs/>
          <w:lang w:val="fr-FR"/>
        </w:rPr>
        <w:t>Douane:</w:t>
      </w:r>
      <w:proofErr w:type="gramEnd"/>
      <w:r w:rsidR="2331247B" w:rsidRPr="035BFF2E">
        <w:rPr>
          <w:b/>
          <w:bCs/>
          <w:lang w:val="fr-FR"/>
        </w:rPr>
        <w:t xml:space="preserve"> </w:t>
      </w:r>
      <w:r w:rsidR="4DC2847B" w:rsidRPr="035BFF2E">
        <w:rPr>
          <w:lang w:val="fr-FR"/>
        </w:rPr>
        <w:t xml:space="preserve">Un droit de douane de 5,6 % s'applique aux importations utilisées dans le processus d'extraction minière. Pour </w:t>
      </w:r>
      <w:r w:rsidR="10A8747B" w:rsidRPr="035BFF2E">
        <w:rPr>
          <w:lang w:val="fr-FR"/>
        </w:rPr>
        <w:t>les</w:t>
      </w:r>
      <w:r w:rsidR="51518FAF" w:rsidRPr="035BFF2E">
        <w:rPr>
          <w:lang w:val="fr-FR"/>
        </w:rPr>
        <w:t xml:space="preserve"> </w:t>
      </w:r>
      <w:r w:rsidR="4DC2847B" w:rsidRPr="035BFF2E">
        <w:rPr>
          <w:lang w:val="fr-FR"/>
        </w:rPr>
        <w:t>infrastructure</w:t>
      </w:r>
      <w:r w:rsidR="085CA5FA" w:rsidRPr="035BFF2E">
        <w:rPr>
          <w:lang w:val="fr-FR"/>
        </w:rPr>
        <w:t>s</w:t>
      </w:r>
      <w:r w:rsidR="4DC2847B" w:rsidRPr="035BFF2E">
        <w:rPr>
          <w:lang w:val="fr-FR"/>
        </w:rPr>
        <w:t xml:space="preserve"> en phase d'exploitation, une taxe d'enregistrement/administrative de 1 % et un droit de douane de 5,6 % sont appliqués aux importations.</w:t>
      </w:r>
      <w:r w:rsidR="33CCCDF3" w:rsidRPr="035BFF2E">
        <w:rPr>
          <w:lang w:val="fr-FR"/>
        </w:rPr>
        <w:t xml:space="preserve"> Cependant, nous n’avons pas modélisé ces potentielles recettes. </w:t>
      </w:r>
    </w:p>
    <w:p w14:paraId="738852D6" w14:textId="574E4BDD" w:rsidR="00CC15AA" w:rsidRDefault="26548E11" w:rsidP="17B7465E">
      <w:pPr>
        <w:numPr>
          <w:ilvl w:val="0"/>
          <w:numId w:val="5"/>
        </w:numPr>
        <w:spacing w:line="259" w:lineRule="auto"/>
        <w:jc w:val="both"/>
        <w:rPr>
          <w:lang w:val="fr-FR"/>
        </w:rPr>
      </w:pPr>
      <w:r w:rsidRPr="035BFF2E">
        <w:rPr>
          <w:b/>
          <w:bCs/>
          <w:lang w:val="fr-FR"/>
        </w:rPr>
        <w:t>Hypothèses de production :</w:t>
      </w:r>
      <w:r w:rsidR="126CD434" w:rsidRPr="035BFF2E">
        <w:rPr>
          <w:b/>
          <w:bCs/>
          <w:lang w:val="fr-FR"/>
        </w:rPr>
        <w:t xml:space="preserve"> </w:t>
      </w:r>
      <w:r w:rsidRPr="035BFF2E">
        <w:rPr>
          <w:lang w:val="fr-FR"/>
        </w:rPr>
        <w:t xml:space="preserve">Le modèle utilise des profils de production spécifiques. Pour les mines WCS et </w:t>
      </w:r>
      <w:proofErr w:type="spellStart"/>
      <w:r w:rsidRPr="035BFF2E">
        <w:rPr>
          <w:lang w:val="fr-FR"/>
        </w:rPr>
        <w:t>Simfer</w:t>
      </w:r>
      <w:proofErr w:type="spellEnd"/>
      <w:r w:rsidRPr="035BFF2E">
        <w:rPr>
          <w:lang w:val="fr-FR"/>
        </w:rPr>
        <w:t>, la production est estimée à 1</w:t>
      </w:r>
      <w:r w:rsidR="001CBE1F" w:rsidRPr="035BFF2E">
        <w:rPr>
          <w:lang w:val="fr-FR"/>
        </w:rPr>
        <w:t>1</w:t>
      </w:r>
      <w:r w:rsidRPr="035BFF2E">
        <w:rPr>
          <w:lang w:val="fr-FR"/>
        </w:rPr>
        <w:t xml:space="preserve"> millions de </w:t>
      </w:r>
      <w:proofErr w:type="spellStart"/>
      <w:proofErr w:type="gramStart"/>
      <w:r w:rsidRPr="035BFF2E">
        <w:rPr>
          <w:lang w:val="fr-FR"/>
        </w:rPr>
        <w:t>tonnes.</w:t>
      </w:r>
      <w:r w:rsidR="327AFBBE" w:rsidRPr="035BFF2E">
        <w:rPr>
          <w:lang w:val="fr-FR"/>
        </w:rPr>
        <w:t>sèches</w:t>
      </w:r>
      <w:proofErr w:type="spellEnd"/>
      <w:proofErr w:type="gramEnd"/>
      <w:r w:rsidR="327AFBBE" w:rsidRPr="035BFF2E">
        <w:rPr>
          <w:lang w:val="fr-FR"/>
        </w:rPr>
        <w:t xml:space="preserve"> </w:t>
      </w:r>
      <w:r w:rsidRPr="035BFF2E">
        <w:rPr>
          <w:lang w:val="fr-FR"/>
        </w:rPr>
        <w:t>par an (</w:t>
      </w:r>
      <w:proofErr w:type="spellStart"/>
      <w:r w:rsidRPr="035BFF2E">
        <w:rPr>
          <w:lang w:val="fr-FR"/>
        </w:rPr>
        <w:t>Mtpa</w:t>
      </w:r>
      <w:proofErr w:type="spellEnd"/>
      <w:r w:rsidRPr="035BFF2E">
        <w:rPr>
          <w:lang w:val="fr-FR"/>
        </w:rPr>
        <w:t xml:space="preserve">) chacune en 2026, augmentant progressivement jusqu'à </w:t>
      </w:r>
      <w:r w:rsidR="1A9D5594" w:rsidRPr="035BFF2E">
        <w:rPr>
          <w:lang w:val="fr-FR"/>
        </w:rPr>
        <w:t>4</w:t>
      </w:r>
      <w:r w:rsidRPr="035BFF2E">
        <w:rPr>
          <w:lang w:val="fr-FR"/>
        </w:rPr>
        <w:t xml:space="preserve">0 </w:t>
      </w:r>
      <w:proofErr w:type="spellStart"/>
      <w:r w:rsidRPr="035BFF2E">
        <w:rPr>
          <w:lang w:val="fr-FR"/>
        </w:rPr>
        <w:t>Mtpa</w:t>
      </w:r>
      <w:proofErr w:type="spellEnd"/>
      <w:r w:rsidRPr="035BFF2E">
        <w:rPr>
          <w:lang w:val="fr-FR"/>
        </w:rPr>
        <w:t xml:space="preserve"> en 2027, 45 </w:t>
      </w:r>
      <w:proofErr w:type="spellStart"/>
      <w:r w:rsidRPr="035BFF2E">
        <w:rPr>
          <w:lang w:val="fr-FR"/>
        </w:rPr>
        <w:t>Mtpa</w:t>
      </w:r>
      <w:proofErr w:type="spellEnd"/>
      <w:r w:rsidRPr="035BFF2E">
        <w:rPr>
          <w:lang w:val="fr-FR"/>
        </w:rPr>
        <w:t xml:space="preserve"> en 2028 et 60 </w:t>
      </w:r>
      <w:proofErr w:type="spellStart"/>
      <w:r w:rsidRPr="035BFF2E">
        <w:rPr>
          <w:lang w:val="fr-FR"/>
        </w:rPr>
        <w:t>Mtpa</w:t>
      </w:r>
      <w:proofErr w:type="spellEnd"/>
      <w:r w:rsidRPr="035BFF2E">
        <w:rPr>
          <w:lang w:val="fr-FR"/>
        </w:rPr>
        <w:t xml:space="preserve"> à partir de 2029. Le volume de transport CTG (infrastructure) est supposé être la production cumulée des deux </w:t>
      </w:r>
      <w:proofErr w:type="gramStart"/>
      <w:r w:rsidR="08DB839D" w:rsidRPr="035BFF2E">
        <w:rPr>
          <w:lang w:val="fr-FR"/>
        </w:rPr>
        <w:t>mines:</w:t>
      </w:r>
      <w:proofErr w:type="gramEnd"/>
      <w:r w:rsidRPr="035BFF2E">
        <w:rPr>
          <w:lang w:val="fr-FR"/>
        </w:rPr>
        <w:t xml:space="preserve"> </w:t>
      </w:r>
      <w:r w:rsidR="047C83CA" w:rsidRPr="035BFF2E">
        <w:rPr>
          <w:lang w:val="fr-FR"/>
        </w:rPr>
        <w:t>22</w:t>
      </w:r>
      <w:r w:rsidRPr="035BFF2E">
        <w:rPr>
          <w:lang w:val="fr-FR"/>
        </w:rPr>
        <w:t xml:space="preserve"> </w:t>
      </w:r>
      <w:proofErr w:type="spellStart"/>
      <w:r w:rsidRPr="035BFF2E">
        <w:rPr>
          <w:lang w:val="fr-FR"/>
        </w:rPr>
        <w:t>Mtpa</w:t>
      </w:r>
      <w:proofErr w:type="spellEnd"/>
      <w:r w:rsidRPr="035BFF2E">
        <w:rPr>
          <w:lang w:val="fr-FR"/>
        </w:rPr>
        <w:t xml:space="preserve"> en 2026, </w:t>
      </w:r>
      <w:r w:rsidR="0AC79FE5" w:rsidRPr="035BFF2E">
        <w:rPr>
          <w:lang w:val="fr-FR"/>
        </w:rPr>
        <w:t>8</w:t>
      </w:r>
      <w:r w:rsidRPr="035BFF2E">
        <w:rPr>
          <w:lang w:val="fr-FR"/>
        </w:rPr>
        <w:t xml:space="preserve">0 </w:t>
      </w:r>
      <w:proofErr w:type="spellStart"/>
      <w:r w:rsidRPr="035BFF2E">
        <w:rPr>
          <w:lang w:val="fr-FR"/>
        </w:rPr>
        <w:t>Mtpa</w:t>
      </w:r>
      <w:proofErr w:type="spellEnd"/>
      <w:r w:rsidRPr="035BFF2E">
        <w:rPr>
          <w:lang w:val="fr-FR"/>
        </w:rPr>
        <w:t xml:space="preserve"> en </w:t>
      </w:r>
      <w:r w:rsidR="52CC21E1" w:rsidRPr="035BFF2E">
        <w:rPr>
          <w:lang w:val="fr-FR"/>
        </w:rPr>
        <w:t>2027, et</w:t>
      </w:r>
      <w:r w:rsidRPr="035BFF2E">
        <w:rPr>
          <w:lang w:val="fr-FR"/>
        </w:rPr>
        <w:t xml:space="preserve"> 120 </w:t>
      </w:r>
      <w:proofErr w:type="spellStart"/>
      <w:r w:rsidRPr="035BFF2E">
        <w:rPr>
          <w:lang w:val="fr-FR"/>
        </w:rPr>
        <w:t>Mtpa</w:t>
      </w:r>
      <w:proofErr w:type="spellEnd"/>
      <w:r w:rsidRPr="035BFF2E">
        <w:rPr>
          <w:lang w:val="fr-FR"/>
        </w:rPr>
        <w:t xml:space="preserve"> à partir de 202</w:t>
      </w:r>
      <w:r w:rsidR="1A87761F" w:rsidRPr="035BFF2E">
        <w:rPr>
          <w:lang w:val="fr-FR"/>
        </w:rPr>
        <w:t>8</w:t>
      </w:r>
      <w:r w:rsidRPr="035BFF2E">
        <w:rPr>
          <w:lang w:val="fr-FR"/>
        </w:rPr>
        <w:t>.</w:t>
      </w:r>
    </w:p>
    <w:p w14:paraId="06068FBB" w14:textId="07EA482B" w:rsidR="00AF2236" w:rsidRPr="00DC6E23" w:rsidRDefault="0BBD3C99" w:rsidP="035BFF2E">
      <w:pPr>
        <w:numPr>
          <w:ilvl w:val="0"/>
          <w:numId w:val="5"/>
        </w:numPr>
        <w:spacing w:line="259" w:lineRule="auto"/>
        <w:jc w:val="both"/>
        <w:rPr>
          <w:lang w:val="fr-FR"/>
        </w:rPr>
      </w:pPr>
      <w:r w:rsidRPr="00DC6E23">
        <w:rPr>
          <w:b/>
          <w:bCs/>
          <w:lang w:val="fr-FR"/>
        </w:rPr>
        <w:t xml:space="preserve">Hypothèses des réserves prouvées : </w:t>
      </w:r>
      <w:r w:rsidRPr="00DC6E23">
        <w:rPr>
          <w:lang w:val="fr-FR"/>
        </w:rPr>
        <w:t>Le modèle utilise des profils de production basées sur les réserves prouvées</w:t>
      </w:r>
      <w:r w:rsidR="6E7709F0" w:rsidRPr="00DC6E23">
        <w:rPr>
          <w:lang w:val="fr-FR"/>
        </w:rPr>
        <w:t xml:space="preserve">. En effet, </w:t>
      </w:r>
      <w:hyperlink r:id="rId41">
        <w:r w:rsidR="6E7709F0" w:rsidRPr="00DC6E23">
          <w:rPr>
            <w:rStyle w:val="Lienhypertexte"/>
            <w:lang w:val="fr-FR"/>
          </w:rPr>
          <w:t>Rio Tinto a annoncé en décembre 2023 la conversion d'environ 1,5 milliard de tonnes en réserves de minerai</w:t>
        </w:r>
      </w:hyperlink>
      <w:r w:rsidR="6E7709F0" w:rsidRPr="00DC6E23">
        <w:rPr>
          <w:lang w:val="fr-FR"/>
        </w:rPr>
        <w:t xml:space="preserve">, ce qui correspond à une durée de vie de la mine de 26 ans, avec une teneur moyenne de 65,3 % de fer et une faible teneur en impuretés. </w:t>
      </w:r>
    </w:p>
    <w:p w14:paraId="36E432FB" w14:textId="04FEF366" w:rsidR="00AF2236" w:rsidRPr="00DC6E23" w:rsidRDefault="707A1D3F" w:rsidP="035BFF2E">
      <w:pPr>
        <w:numPr>
          <w:ilvl w:val="0"/>
          <w:numId w:val="5"/>
        </w:numPr>
        <w:spacing w:line="259" w:lineRule="auto"/>
        <w:ind w:left="360" w:firstLine="0"/>
        <w:jc w:val="center"/>
        <w:rPr>
          <w:b/>
          <w:bCs/>
          <w:sz w:val="16"/>
          <w:szCs w:val="16"/>
          <w:lang w:val="fr-FR"/>
        </w:rPr>
      </w:pPr>
      <w:r>
        <w:rPr>
          <w:noProof/>
        </w:rPr>
        <w:lastRenderedPageBreak/>
        <w:drawing>
          <wp:inline distT="0" distB="0" distL="0" distR="0" wp14:anchorId="33FA91B0" wp14:editId="7FD89C5E">
            <wp:extent cx="5762625" cy="2752725"/>
            <wp:effectExtent l="0" t="0" r="0" b="0"/>
            <wp:docPr id="191687488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74883" name="Picture 1916874883"/>
                    <pic:cNvPicPr/>
                  </pic:nvPicPr>
                  <pic:blipFill>
                    <a:blip r:embed="rId42">
                      <a:extLst>
                        <a:ext uri="{28A0092B-C50C-407E-A947-70E740481C1C}">
                          <a14:useLocalDpi xmlns:a14="http://schemas.microsoft.com/office/drawing/2010/main"/>
                        </a:ext>
                      </a:extLst>
                    </a:blip>
                    <a:stretch>
                      <a:fillRect/>
                    </a:stretch>
                  </pic:blipFill>
                  <pic:spPr>
                    <a:xfrm>
                      <a:off x="0" y="0"/>
                      <a:ext cx="5762625" cy="2752725"/>
                    </a:xfrm>
                    <a:prstGeom prst="rect">
                      <a:avLst/>
                    </a:prstGeom>
                  </pic:spPr>
                </pic:pic>
              </a:graphicData>
            </a:graphic>
          </wp:inline>
        </w:drawing>
      </w:r>
      <w:r w:rsidR="3C91854D" w:rsidRPr="00DC6E23">
        <w:rPr>
          <w:b/>
          <w:bCs/>
          <w:sz w:val="16"/>
          <w:szCs w:val="16"/>
          <w:lang w:val="fr-FR"/>
        </w:rPr>
        <w:t xml:space="preserve">Source : </w:t>
      </w:r>
      <w:hyperlink r:id="rId43">
        <w:r w:rsidR="55E4E851" w:rsidRPr="00DC6E23">
          <w:rPr>
            <w:rStyle w:val="Lienhypertexte"/>
            <w:b/>
            <w:bCs/>
            <w:sz w:val="16"/>
            <w:szCs w:val="16"/>
            <w:lang w:val="fr-FR"/>
          </w:rPr>
          <w:t xml:space="preserve">Etude de faisabilité </w:t>
        </w:r>
        <w:r w:rsidR="3C91854D" w:rsidRPr="00DC6E23">
          <w:rPr>
            <w:rStyle w:val="Lienhypertexte"/>
            <w:b/>
            <w:bCs/>
            <w:sz w:val="16"/>
            <w:szCs w:val="16"/>
            <w:lang w:val="fr-FR"/>
          </w:rPr>
          <w:t>Rio Tinto</w:t>
        </w:r>
        <w:r w:rsidR="256CE1AE" w:rsidRPr="00DC6E23">
          <w:rPr>
            <w:rStyle w:val="Lienhypertexte"/>
            <w:b/>
            <w:bCs/>
            <w:sz w:val="16"/>
            <w:szCs w:val="16"/>
            <w:lang w:val="fr-FR"/>
          </w:rPr>
          <w:t xml:space="preserve"> – Décembre 2023</w:t>
        </w:r>
      </w:hyperlink>
    </w:p>
    <w:p w14:paraId="4FDEDFFE" w14:textId="73FF3A36" w:rsidR="00CC15AA" w:rsidRPr="00CC15AA" w:rsidRDefault="44DE42EE" w:rsidP="17B7465E">
      <w:pPr>
        <w:numPr>
          <w:ilvl w:val="0"/>
          <w:numId w:val="5"/>
        </w:numPr>
        <w:spacing w:line="259" w:lineRule="auto"/>
        <w:jc w:val="both"/>
        <w:rPr>
          <w:lang w:val="fr-FR"/>
        </w:rPr>
      </w:pPr>
      <w:r w:rsidRPr="17B7465E">
        <w:rPr>
          <w:b/>
          <w:bCs/>
          <w:lang w:val="fr-FR"/>
        </w:rPr>
        <w:t>Paramètres économiques :</w:t>
      </w:r>
      <w:r w:rsidR="3B3B371E" w:rsidRPr="17B7465E">
        <w:rPr>
          <w:b/>
          <w:bCs/>
          <w:lang w:val="fr-FR"/>
        </w:rPr>
        <w:t xml:space="preserve"> </w:t>
      </w:r>
      <w:r w:rsidRPr="17B7465E">
        <w:rPr>
          <w:lang w:val="fr-FR"/>
        </w:rPr>
        <w:t xml:space="preserve">Le prix du minerai de fer est un paramètre économique clé, </w:t>
      </w:r>
      <w:r w:rsidR="414C90AC" w:rsidRPr="17B7465E">
        <w:rPr>
          <w:lang w:val="fr-FR"/>
        </w:rPr>
        <w:t xml:space="preserve">En effet, </w:t>
      </w:r>
      <w:r w:rsidRPr="17B7465E">
        <w:rPr>
          <w:lang w:val="fr-FR"/>
        </w:rPr>
        <w:t xml:space="preserve">un prix de 80 $/tonne métrique sèche sert de </w:t>
      </w:r>
      <w:r w:rsidR="56368F43" w:rsidRPr="17B7465E">
        <w:rPr>
          <w:lang w:val="fr-FR"/>
        </w:rPr>
        <w:t xml:space="preserve">prix de </w:t>
      </w:r>
      <w:r w:rsidRPr="17B7465E">
        <w:rPr>
          <w:lang w:val="fr-FR"/>
        </w:rPr>
        <w:t>référence</w:t>
      </w:r>
      <w:r w:rsidR="5D9FE3BB" w:rsidRPr="17B7465E">
        <w:rPr>
          <w:lang w:val="fr-FR"/>
        </w:rPr>
        <w:t xml:space="preserve"> dans le scénario de base</w:t>
      </w:r>
      <w:r w:rsidRPr="17B7465E">
        <w:rPr>
          <w:lang w:val="fr-FR"/>
        </w:rPr>
        <w:t xml:space="preserve"> pour l'analyse. Une analyse de sensibilité est menée sur le prix et divers facteurs de coûts. </w:t>
      </w:r>
      <w:proofErr w:type="gramStart"/>
      <w:r w:rsidRPr="17B7465E">
        <w:rPr>
          <w:lang w:val="fr-FR"/>
        </w:rPr>
        <w:t>même</w:t>
      </w:r>
      <w:proofErr w:type="gramEnd"/>
      <w:r w:rsidRPr="17B7465E">
        <w:rPr>
          <w:lang w:val="fr-FR"/>
        </w:rPr>
        <w:t xml:space="preserve"> si le concentré de fer de </w:t>
      </w:r>
      <w:proofErr w:type="spellStart"/>
      <w:r w:rsidRPr="17B7465E">
        <w:rPr>
          <w:lang w:val="fr-FR"/>
        </w:rPr>
        <w:t>Simandou</w:t>
      </w:r>
      <w:proofErr w:type="spellEnd"/>
      <w:r w:rsidRPr="17B7465E">
        <w:rPr>
          <w:lang w:val="fr-FR"/>
        </w:rPr>
        <w:t xml:space="preserve"> devrait présenter des teneurs supérieures. Sur la base des hypothèses exposées dans la section précédente de ce document et avec un taux d'actualisation de 10 %, le modèle FARI estime le prix de seuil de rentabilité du projet à environ </w:t>
      </w:r>
      <w:r w:rsidR="53E4CA12" w:rsidRPr="17B7465E">
        <w:rPr>
          <w:lang w:val="fr-FR"/>
        </w:rPr>
        <w:t>65</w:t>
      </w:r>
      <w:r w:rsidRPr="17B7465E">
        <w:rPr>
          <w:lang w:val="fr-FR"/>
        </w:rPr>
        <w:t xml:space="preserve"> dollars la tonne</w:t>
      </w:r>
      <w:r w:rsidR="5AAC8DCA" w:rsidRPr="17B7465E">
        <w:rPr>
          <w:lang w:val="fr-FR"/>
        </w:rPr>
        <w:t xml:space="preserve"> sèche.</w:t>
      </w:r>
    </w:p>
    <w:p w14:paraId="3443F49B" w14:textId="35D55538" w:rsidR="00CC15AA" w:rsidRPr="000C383E" w:rsidRDefault="00EF4579" w:rsidP="000C383E">
      <w:pPr>
        <w:pStyle w:val="Titre2"/>
        <w:rPr>
          <w:lang w:val="en-US"/>
        </w:rPr>
      </w:pPr>
      <w:bookmarkStart w:id="4" w:name="_Toc203392798"/>
      <w:proofErr w:type="spellStart"/>
      <w:r>
        <w:rPr>
          <w:lang w:val="en-US"/>
        </w:rPr>
        <w:t>Résultats</w:t>
      </w:r>
      <w:proofErr w:type="spellEnd"/>
      <w:r>
        <w:rPr>
          <w:lang w:val="en-US"/>
        </w:rPr>
        <w:t xml:space="preserve"> du </w:t>
      </w:r>
      <w:proofErr w:type="spellStart"/>
      <w:r>
        <w:rPr>
          <w:lang w:val="en-US"/>
        </w:rPr>
        <w:t>modèle</w:t>
      </w:r>
      <w:proofErr w:type="spellEnd"/>
      <w:r>
        <w:rPr>
          <w:lang w:val="en-US"/>
        </w:rPr>
        <w:t xml:space="preserve"> FARI</w:t>
      </w:r>
      <w:bookmarkEnd w:id="4"/>
    </w:p>
    <w:p w14:paraId="2E0BB647" w14:textId="1FC64B40" w:rsidR="00CC15AA" w:rsidRPr="00DC6E23" w:rsidRDefault="3C0BD493" w:rsidP="17B7465E">
      <w:pPr>
        <w:spacing w:line="259" w:lineRule="auto"/>
        <w:jc w:val="both"/>
        <w:rPr>
          <w:lang w:val="fr-FR"/>
        </w:rPr>
      </w:pPr>
      <w:r w:rsidRPr="035BFF2E">
        <w:rPr>
          <w:lang w:val="fr-FR"/>
        </w:rPr>
        <w:t xml:space="preserve">Les </w:t>
      </w:r>
      <w:hyperlink r:id="rId44">
        <w:r w:rsidR="2E10EF43" w:rsidRPr="035BFF2E">
          <w:rPr>
            <w:rStyle w:val="Lienhypertexte"/>
            <w:lang w:val="fr-FR"/>
          </w:rPr>
          <w:t>recettes publiques totales en Guinée</w:t>
        </w:r>
      </w:hyperlink>
      <w:r w:rsidR="7F191A6C" w:rsidRPr="035BFF2E">
        <w:rPr>
          <w:lang w:val="fr-FR"/>
        </w:rPr>
        <w:t xml:space="preserve"> </w:t>
      </w:r>
      <w:r w:rsidR="2E10EF43" w:rsidRPr="035BFF2E">
        <w:rPr>
          <w:lang w:val="fr-FR"/>
        </w:rPr>
        <w:t>étai</w:t>
      </w:r>
      <w:r w:rsidR="441A2606" w:rsidRPr="035BFF2E">
        <w:rPr>
          <w:lang w:val="fr-FR"/>
        </w:rPr>
        <w:t>en</w:t>
      </w:r>
      <w:r w:rsidR="2E10EF43" w:rsidRPr="035BFF2E">
        <w:rPr>
          <w:lang w:val="fr-FR"/>
        </w:rPr>
        <w:t>t d'environ 3,6 milliards de dollars en 2024</w:t>
      </w:r>
      <w:r w:rsidR="0AC6F4DA" w:rsidRPr="035BFF2E">
        <w:rPr>
          <w:lang w:val="fr-FR"/>
        </w:rPr>
        <w:t xml:space="preserve"> </w:t>
      </w:r>
      <w:r w:rsidR="2E10EF43" w:rsidRPr="035BFF2E">
        <w:rPr>
          <w:lang w:val="fr-FR"/>
        </w:rPr>
        <w:t>et des revenus miniers estimés à 0,8 milliard de dollars en 2024.</w:t>
      </w:r>
    </w:p>
    <w:p w14:paraId="4F9310B2" w14:textId="012ABCF1" w:rsidR="236B71B9" w:rsidRPr="00DC6E23" w:rsidRDefault="236B71B9" w:rsidP="035BFF2E">
      <w:pPr>
        <w:spacing w:line="259" w:lineRule="auto"/>
        <w:jc w:val="both"/>
        <w:rPr>
          <w:lang w:val="fr-FR"/>
        </w:rPr>
      </w:pPr>
      <w:r w:rsidRPr="035BFF2E">
        <w:rPr>
          <w:lang w:val="fr-FR"/>
        </w:rPr>
        <w:t xml:space="preserve">Le Gouvernement guinéen dans son </w:t>
      </w:r>
      <w:bookmarkStart w:id="5" w:name="_Hlk216881132"/>
      <w:r w:rsidRPr="035BFF2E">
        <w:rPr>
          <w:lang w:val="fr-FR"/>
        </w:rPr>
        <w:t xml:space="preserve">Document de Programmation </w:t>
      </w:r>
      <w:proofErr w:type="spellStart"/>
      <w:r w:rsidRPr="035BFF2E">
        <w:rPr>
          <w:lang w:val="fr-FR"/>
        </w:rPr>
        <w:t>Budgetaire</w:t>
      </w:r>
      <w:proofErr w:type="spellEnd"/>
      <w:r w:rsidRPr="035BFF2E">
        <w:rPr>
          <w:lang w:val="fr-FR"/>
        </w:rPr>
        <w:t xml:space="preserve"> Pluriannuelle (</w:t>
      </w:r>
      <w:hyperlink r:id="rId45">
        <w:r w:rsidRPr="035BFF2E">
          <w:rPr>
            <w:rStyle w:val="Lienhypertexte"/>
            <w:lang w:val="fr-FR"/>
          </w:rPr>
          <w:t>DPBP-2025-2027</w:t>
        </w:r>
      </w:hyperlink>
      <w:r w:rsidRPr="035BFF2E">
        <w:rPr>
          <w:lang w:val="fr-FR"/>
        </w:rPr>
        <w:t>)</w:t>
      </w:r>
      <w:r w:rsidR="73B28B44" w:rsidRPr="035BFF2E">
        <w:rPr>
          <w:lang w:val="fr-FR"/>
        </w:rPr>
        <w:t xml:space="preserve"> prévoit</w:t>
      </w:r>
      <w:r w:rsidR="46050B30" w:rsidRPr="035BFF2E">
        <w:rPr>
          <w:lang w:val="fr-FR"/>
        </w:rPr>
        <w:t xml:space="preserve"> que les activités extractives devraient enregistrer un taux de croissance de 15,9% en 2024, selon le scénario avec </w:t>
      </w:r>
      <w:proofErr w:type="spellStart"/>
      <w:r w:rsidR="46050B30" w:rsidRPr="035BFF2E">
        <w:rPr>
          <w:lang w:val="fr-FR"/>
        </w:rPr>
        <w:t>Simandou</w:t>
      </w:r>
      <w:proofErr w:type="spellEnd"/>
      <w:r w:rsidR="46050B30" w:rsidRPr="035BFF2E">
        <w:rPr>
          <w:lang w:val="fr-FR"/>
        </w:rPr>
        <w:t xml:space="preserve">, contre 8,1% pour le cadrage provisoire, soit un accroissement de 7,8 points de pourcentage. Entre 2025 et 2028, ce taux de croissance pourrait être en moyenne de 21,9%, en lien avec les effets directs et indirects du projet d’exploitation du minerai de fer de </w:t>
      </w:r>
      <w:proofErr w:type="spellStart"/>
      <w:r w:rsidR="46050B30" w:rsidRPr="035BFF2E">
        <w:rPr>
          <w:lang w:val="fr-FR"/>
        </w:rPr>
        <w:t>Simandou</w:t>
      </w:r>
      <w:proofErr w:type="spellEnd"/>
      <w:r w:rsidRPr="035BFF2E">
        <w:rPr>
          <w:lang w:val="fr-FR"/>
        </w:rPr>
        <w:t>.</w:t>
      </w:r>
      <w:bookmarkEnd w:id="5"/>
      <w:r w:rsidR="56BE9F5C" w:rsidRPr="035BFF2E">
        <w:rPr>
          <w:lang w:val="fr-FR"/>
        </w:rPr>
        <w:t xml:space="preserve"> Les projections pour les recettes minières (en milliards de francs guinéens) s’établissent comme suit : </w:t>
      </w:r>
    </w:p>
    <w:p w14:paraId="6FB49CC2" w14:textId="3E831947" w:rsidR="56BE9F5C" w:rsidRDefault="56BE9F5C" w:rsidP="035BFF2E">
      <w:pPr>
        <w:spacing w:line="259" w:lineRule="auto"/>
        <w:jc w:val="center"/>
      </w:pPr>
      <w:r>
        <w:rPr>
          <w:noProof/>
        </w:rPr>
        <w:drawing>
          <wp:inline distT="0" distB="0" distL="0" distR="0" wp14:anchorId="5781655D" wp14:editId="4B8BEDC0">
            <wp:extent cx="4635738" cy="685835"/>
            <wp:effectExtent l="0" t="0" r="0" b="0"/>
            <wp:docPr id="6026330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33002" name="Picture 602633002"/>
                    <pic:cNvPicPr/>
                  </pic:nvPicPr>
                  <pic:blipFill>
                    <a:blip r:embed="rId46">
                      <a:extLst>
                        <a:ext uri="{28A0092B-C50C-407E-A947-70E740481C1C}">
                          <a14:useLocalDpi xmlns:a14="http://schemas.microsoft.com/office/drawing/2010/main"/>
                        </a:ext>
                      </a:extLst>
                    </a:blip>
                    <a:stretch>
                      <a:fillRect/>
                    </a:stretch>
                  </pic:blipFill>
                  <pic:spPr>
                    <a:xfrm>
                      <a:off x="0" y="0"/>
                      <a:ext cx="4635738" cy="685835"/>
                    </a:xfrm>
                    <a:prstGeom prst="rect">
                      <a:avLst/>
                    </a:prstGeom>
                  </pic:spPr>
                </pic:pic>
              </a:graphicData>
            </a:graphic>
          </wp:inline>
        </w:drawing>
      </w:r>
    </w:p>
    <w:p w14:paraId="125C7EB6" w14:textId="14422B6A" w:rsidR="00CC15AA" w:rsidRPr="00CC15AA" w:rsidRDefault="4A967B50" w:rsidP="035BFF2E">
      <w:pPr>
        <w:spacing w:line="259" w:lineRule="auto"/>
        <w:jc w:val="both"/>
        <w:rPr>
          <w:lang w:val="fr-FR"/>
        </w:rPr>
      </w:pPr>
      <w:r w:rsidRPr="035BFF2E">
        <w:rPr>
          <w:lang w:val="fr-FR"/>
        </w:rPr>
        <w:t>Dans la même dynamique, le Comité de Pilotage ITIE en application de l’exigence 5</w:t>
      </w:r>
      <w:r w:rsidR="5613E07E" w:rsidRPr="035BFF2E">
        <w:rPr>
          <w:lang w:val="fr-FR"/>
        </w:rPr>
        <w:t>.3 de la Norme ITIE</w:t>
      </w:r>
      <w:r w:rsidR="580A789D" w:rsidRPr="035BFF2E">
        <w:rPr>
          <w:lang w:val="fr-FR"/>
        </w:rPr>
        <w:t>,</w:t>
      </w:r>
      <w:r w:rsidR="5613E07E" w:rsidRPr="035BFF2E">
        <w:rPr>
          <w:lang w:val="fr-FR"/>
        </w:rPr>
        <w:t xml:space="preserve"> présente en détail dans les lignes qui suivent l’état des recettes de l’Etat. En effet, </w:t>
      </w:r>
      <w:r w:rsidR="38AAB1A5" w:rsidRPr="035BFF2E">
        <w:rPr>
          <w:lang w:val="fr-FR"/>
        </w:rPr>
        <w:t>s</w:t>
      </w:r>
      <w:r w:rsidR="35F6551F" w:rsidRPr="035BFF2E">
        <w:rPr>
          <w:lang w:val="fr-FR"/>
        </w:rPr>
        <w:t>ur la base des hypothèses du modèle financier, les principaux résultats concernant les recettes futures d</w:t>
      </w:r>
      <w:r w:rsidR="12EE0608" w:rsidRPr="035BFF2E">
        <w:rPr>
          <w:lang w:val="fr-FR"/>
        </w:rPr>
        <w:t xml:space="preserve">e l’Etat </w:t>
      </w:r>
      <w:r w:rsidR="35F6551F" w:rsidRPr="035BFF2E">
        <w:rPr>
          <w:lang w:val="fr-FR"/>
        </w:rPr>
        <w:t xml:space="preserve">provenant </w:t>
      </w:r>
      <w:r w:rsidR="6980822B" w:rsidRPr="035BFF2E">
        <w:rPr>
          <w:lang w:val="fr-FR"/>
        </w:rPr>
        <w:t xml:space="preserve">des trois entreprises (CTG, Rio Tinto </w:t>
      </w:r>
      <w:proofErr w:type="spellStart"/>
      <w:r w:rsidR="6980822B" w:rsidRPr="035BFF2E">
        <w:rPr>
          <w:lang w:val="fr-FR"/>
        </w:rPr>
        <w:t>Simfer</w:t>
      </w:r>
      <w:proofErr w:type="spellEnd"/>
      <w:r w:rsidR="6980822B" w:rsidRPr="035BFF2E">
        <w:rPr>
          <w:lang w:val="fr-FR"/>
        </w:rPr>
        <w:t xml:space="preserve"> et WCS) </w:t>
      </w:r>
      <w:r w:rsidR="35F6551F" w:rsidRPr="035BFF2E">
        <w:rPr>
          <w:lang w:val="fr-FR"/>
        </w:rPr>
        <w:t xml:space="preserve">du projet </w:t>
      </w:r>
      <w:proofErr w:type="spellStart"/>
      <w:r w:rsidR="35F6551F" w:rsidRPr="035BFF2E">
        <w:rPr>
          <w:lang w:val="fr-FR"/>
        </w:rPr>
        <w:t>Simandou</w:t>
      </w:r>
      <w:proofErr w:type="spellEnd"/>
      <w:r w:rsidR="35F6551F" w:rsidRPr="035BFF2E">
        <w:rPr>
          <w:lang w:val="fr-FR"/>
        </w:rPr>
        <w:t xml:space="preserve"> sont les suivants :</w:t>
      </w:r>
    </w:p>
    <w:p w14:paraId="0175D973" w14:textId="38017166" w:rsidR="00CC15AA" w:rsidRPr="00CC15AA" w:rsidRDefault="35F6551F" w:rsidP="035BFF2E">
      <w:pPr>
        <w:numPr>
          <w:ilvl w:val="0"/>
          <w:numId w:val="6"/>
        </w:numPr>
        <w:spacing w:line="259" w:lineRule="auto"/>
        <w:jc w:val="both"/>
        <w:rPr>
          <w:lang w:val="fr-FR"/>
        </w:rPr>
      </w:pPr>
      <w:bookmarkStart w:id="6" w:name="_Hlk203384795"/>
      <w:r w:rsidRPr="035BFF2E">
        <w:rPr>
          <w:lang w:val="fr-FR"/>
        </w:rPr>
        <w:lastRenderedPageBreak/>
        <w:t>Avec un prix du minerai de fer de 80 $/tonne</w:t>
      </w:r>
      <w:r w:rsidR="2C5B5841" w:rsidRPr="035BFF2E">
        <w:rPr>
          <w:lang w:val="fr-FR"/>
        </w:rPr>
        <w:t xml:space="preserve"> sèche</w:t>
      </w:r>
      <w:r w:rsidRPr="035BFF2E">
        <w:rPr>
          <w:lang w:val="fr-FR"/>
        </w:rPr>
        <w:t>, les recettes annuelles projetées pour l</w:t>
      </w:r>
      <w:r w:rsidR="1E70925F" w:rsidRPr="035BFF2E">
        <w:rPr>
          <w:lang w:val="fr-FR"/>
        </w:rPr>
        <w:t>'Etat</w:t>
      </w:r>
      <w:r w:rsidRPr="035BFF2E">
        <w:rPr>
          <w:lang w:val="fr-FR"/>
        </w:rPr>
        <w:t xml:space="preserve">, issues de l'exploitation de </w:t>
      </w:r>
      <w:proofErr w:type="spellStart"/>
      <w:r w:rsidRPr="035BFF2E">
        <w:rPr>
          <w:lang w:val="fr-FR"/>
        </w:rPr>
        <w:t>Simandou</w:t>
      </w:r>
      <w:proofErr w:type="spellEnd"/>
      <w:r w:rsidRPr="035BFF2E">
        <w:rPr>
          <w:lang w:val="fr-FR"/>
        </w:rPr>
        <w:t xml:space="preserve">, s'élèvent en moyenne à environ </w:t>
      </w:r>
      <w:r w:rsidR="24ED3962" w:rsidRPr="035BFF2E">
        <w:rPr>
          <w:lang w:val="fr-FR"/>
        </w:rPr>
        <w:t>850</w:t>
      </w:r>
      <w:r w:rsidRPr="035BFF2E">
        <w:rPr>
          <w:lang w:val="fr-FR"/>
        </w:rPr>
        <w:t xml:space="preserve"> milli</w:t>
      </w:r>
      <w:r w:rsidR="0F49B23B" w:rsidRPr="035BFF2E">
        <w:rPr>
          <w:lang w:val="fr-FR"/>
        </w:rPr>
        <w:t>ons</w:t>
      </w:r>
      <w:r w:rsidRPr="035BFF2E">
        <w:rPr>
          <w:lang w:val="fr-FR"/>
        </w:rPr>
        <w:t xml:space="preserve"> de dollars entre 2026 et 2034, et à environ 2milliards de dollars à partir de 2035. Le modèle prévoit également des recettes fiscales sur les sociétés comprises entre 0,1 et </w:t>
      </w:r>
      <w:r w:rsidR="2F63FB10" w:rsidRPr="035BFF2E">
        <w:rPr>
          <w:lang w:val="fr-FR"/>
        </w:rPr>
        <w:t>0</w:t>
      </w:r>
      <w:r w:rsidRPr="035BFF2E">
        <w:rPr>
          <w:lang w:val="fr-FR"/>
        </w:rPr>
        <w:t>,</w:t>
      </w:r>
      <w:r w:rsidR="0142CE1B" w:rsidRPr="035BFF2E">
        <w:rPr>
          <w:lang w:val="fr-FR"/>
        </w:rPr>
        <w:t>4</w:t>
      </w:r>
      <w:r w:rsidRPr="035BFF2E">
        <w:rPr>
          <w:lang w:val="fr-FR"/>
        </w:rPr>
        <w:t xml:space="preserve"> milliard de dollars pour l</w:t>
      </w:r>
      <w:r w:rsidR="21E2AA5E" w:rsidRPr="035BFF2E">
        <w:rPr>
          <w:lang w:val="fr-FR"/>
        </w:rPr>
        <w:t>'Etat</w:t>
      </w:r>
      <w:r w:rsidRPr="035BFF2E">
        <w:rPr>
          <w:lang w:val="fr-FR"/>
        </w:rPr>
        <w:t xml:space="preserve"> à un prix du minerai de fer de 80 $/tonne</w:t>
      </w:r>
      <w:r w:rsidR="0D898245" w:rsidRPr="035BFF2E">
        <w:rPr>
          <w:lang w:val="fr-FR"/>
        </w:rPr>
        <w:t xml:space="preserve"> sèche</w:t>
      </w:r>
      <w:r w:rsidRPr="035BFF2E">
        <w:rPr>
          <w:lang w:val="fr-FR"/>
        </w:rPr>
        <w:t xml:space="preserve"> entre 2030 et 203</w:t>
      </w:r>
      <w:r w:rsidR="317A7CEB" w:rsidRPr="035BFF2E">
        <w:rPr>
          <w:lang w:val="fr-FR"/>
        </w:rPr>
        <w:t>4</w:t>
      </w:r>
      <w:r w:rsidRPr="035BFF2E">
        <w:rPr>
          <w:lang w:val="fr-FR"/>
        </w:rPr>
        <w:t xml:space="preserve">, avec une augmentation </w:t>
      </w:r>
      <w:r w:rsidR="368002B2" w:rsidRPr="035BFF2E">
        <w:rPr>
          <w:lang w:val="fr-FR"/>
        </w:rPr>
        <w:t>graduelle</w:t>
      </w:r>
      <w:r w:rsidRPr="035BFF2E">
        <w:rPr>
          <w:lang w:val="fr-FR"/>
        </w:rPr>
        <w:t xml:space="preserve"> de la production prévue entre 2026 et 2029.</w:t>
      </w:r>
      <w:bookmarkEnd w:id="6"/>
    </w:p>
    <w:p w14:paraId="2123AF46" w14:textId="728D96FE" w:rsidR="00CC15AA" w:rsidRPr="00CC15AA" w:rsidRDefault="35F6551F" w:rsidP="035BFF2E">
      <w:pPr>
        <w:numPr>
          <w:ilvl w:val="0"/>
          <w:numId w:val="6"/>
        </w:numPr>
        <w:spacing w:line="259" w:lineRule="auto"/>
        <w:jc w:val="both"/>
        <w:rPr>
          <w:lang w:val="fr-FR"/>
        </w:rPr>
      </w:pPr>
      <w:r w:rsidRPr="035BFF2E">
        <w:rPr>
          <w:lang w:val="fr-FR"/>
        </w:rPr>
        <w:t>Avec un prix du minerai de fer de 100 $/tonne</w:t>
      </w:r>
      <w:r w:rsidR="3B0FAFC0" w:rsidRPr="035BFF2E">
        <w:rPr>
          <w:lang w:val="fr-FR"/>
        </w:rPr>
        <w:t xml:space="preserve"> sèche</w:t>
      </w:r>
      <w:r w:rsidRPr="035BFF2E">
        <w:rPr>
          <w:lang w:val="fr-FR"/>
        </w:rPr>
        <w:t xml:space="preserve">, les recettes annuelles projetées de </w:t>
      </w:r>
      <w:proofErr w:type="spellStart"/>
      <w:r w:rsidRPr="035BFF2E">
        <w:rPr>
          <w:lang w:val="fr-FR"/>
        </w:rPr>
        <w:t>Simandou</w:t>
      </w:r>
      <w:proofErr w:type="spellEnd"/>
      <w:r w:rsidRPr="035BFF2E">
        <w:rPr>
          <w:lang w:val="fr-FR"/>
        </w:rPr>
        <w:t xml:space="preserve"> pour l</w:t>
      </w:r>
      <w:r w:rsidR="5850C2A8" w:rsidRPr="035BFF2E">
        <w:rPr>
          <w:lang w:val="fr-FR"/>
        </w:rPr>
        <w:t>’Etat</w:t>
      </w:r>
      <w:r w:rsidR="3C9D766D" w:rsidRPr="035BFF2E">
        <w:rPr>
          <w:lang w:val="fr-FR"/>
        </w:rPr>
        <w:t xml:space="preserve"> </w:t>
      </w:r>
      <w:r w:rsidRPr="035BFF2E">
        <w:rPr>
          <w:lang w:val="fr-FR"/>
        </w:rPr>
        <w:t>s'élèvent en moyenne à environ 1,</w:t>
      </w:r>
      <w:r w:rsidR="226DC54A" w:rsidRPr="035BFF2E">
        <w:rPr>
          <w:lang w:val="fr-FR"/>
        </w:rPr>
        <w:t>1</w:t>
      </w:r>
      <w:r w:rsidRPr="035BFF2E">
        <w:rPr>
          <w:lang w:val="fr-FR"/>
        </w:rPr>
        <w:t xml:space="preserve"> milliard de dollars entre 2026 et 2034, et à environ </w:t>
      </w:r>
      <w:r w:rsidR="4A7038E4" w:rsidRPr="035BFF2E">
        <w:rPr>
          <w:lang w:val="fr-FR"/>
        </w:rPr>
        <w:t>2</w:t>
      </w:r>
      <w:r w:rsidRPr="035BFF2E">
        <w:rPr>
          <w:lang w:val="fr-FR"/>
        </w:rPr>
        <w:t>,</w:t>
      </w:r>
      <w:r w:rsidR="04EB10DF" w:rsidRPr="035BFF2E">
        <w:rPr>
          <w:lang w:val="fr-FR"/>
        </w:rPr>
        <w:t>7</w:t>
      </w:r>
      <w:r w:rsidRPr="035BFF2E">
        <w:rPr>
          <w:lang w:val="fr-FR"/>
        </w:rPr>
        <w:t xml:space="preserve"> milliards de dollars à partir de 2035.</w:t>
      </w:r>
    </w:p>
    <w:p w14:paraId="7107E77F" w14:textId="3610B0A4" w:rsidR="00CC15AA" w:rsidRDefault="35F6551F" w:rsidP="035BFF2E">
      <w:pPr>
        <w:spacing w:line="259" w:lineRule="auto"/>
        <w:ind w:left="720"/>
        <w:jc w:val="both"/>
        <w:rPr>
          <w:lang w:val="fr-FR"/>
        </w:rPr>
      </w:pPr>
      <w:r w:rsidRPr="035BFF2E">
        <w:rPr>
          <w:lang w:val="fr-FR"/>
        </w:rPr>
        <w:t>La contribution de l'impôt sur les sociétés, rétabli au taux normal de 30 %</w:t>
      </w:r>
      <w:r w:rsidR="1F9D1EE5" w:rsidRPr="035BFF2E">
        <w:rPr>
          <w:lang w:val="fr-FR"/>
        </w:rPr>
        <w:t xml:space="preserve"> en 2035</w:t>
      </w:r>
      <w:r w:rsidRPr="035BFF2E">
        <w:rPr>
          <w:lang w:val="fr-FR"/>
        </w:rPr>
        <w:t>, est estimée entre 1,</w:t>
      </w:r>
      <w:r w:rsidR="5B07BD37" w:rsidRPr="035BFF2E">
        <w:rPr>
          <w:lang w:val="fr-FR"/>
        </w:rPr>
        <w:t>2</w:t>
      </w:r>
      <w:r w:rsidRPr="035BFF2E">
        <w:rPr>
          <w:lang w:val="fr-FR"/>
        </w:rPr>
        <w:t xml:space="preserve"> milliard et </w:t>
      </w:r>
      <w:r w:rsidR="33236A85" w:rsidRPr="035BFF2E">
        <w:rPr>
          <w:lang w:val="fr-FR"/>
        </w:rPr>
        <w:t>2</w:t>
      </w:r>
      <w:r w:rsidRPr="035BFF2E">
        <w:rPr>
          <w:lang w:val="fr-FR"/>
        </w:rPr>
        <w:t xml:space="preserve"> milliards de dollars</w:t>
      </w:r>
      <w:r w:rsidR="1DA3EDE5" w:rsidRPr="035BFF2E">
        <w:rPr>
          <w:lang w:val="fr-FR"/>
        </w:rPr>
        <w:t xml:space="preserve"> par an</w:t>
      </w:r>
      <w:r w:rsidRPr="035BFF2E">
        <w:rPr>
          <w:lang w:val="fr-FR"/>
        </w:rPr>
        <w:t>.</w:t>
      </w:r>
    </w:p>
    <w:p w14:paraId="15DED311" w14:textId="5B6FFCCF" w:rsidR="00D676AE" w:rsidRPr="00DC6E23" w:rsidRDefault="1610E109" w:rsidP="035BFF2E">
      <w:pPr>
        <w:numPr>
          <w:ilvl w:val="0"/>
          <w:numId w:val="6"/>
        </w:numPr>
        <w:spacing w:line="259" w:lineRule="auto"/>
        <w:jc w:val="both"/>
        <w:rPr>
          <w:lang w:val="fr-FR"/>
        </w:rPr>
      </w:pPr>
      <w:r w:rsidRPr="035BFF2E">
        <w:rPr>
          <w:lang w:val="fr-FR"/>
        </w:rPr>
        <w:t>Avec un prix du minerai de fer de 70 $/tonne</w:t>
      </w:r>
      <w:r w:rsidR="7F1B36CC" w:rsidRPr="035BFF2E">
        <w:rPr>
          <w:lang w:val="fr-FR"/>
        </w:rPr>
        <w:t xml:space="preserve"> sèche</w:t>
      </w:r>
      <w:r w:rsidRPr="035BFF2E">
        <w:rPr>
          <w:lang w:val="fr-FR"/>
        </w:rPr>
        <w:t xml:space="preserve">, les recettes annuelles projetées pour le gouvernement, liées à l'exploitation du minerai de </w:t>
      </w:r>
      <w:proofErr w:type="spellStart"/>
      <w:r w:rsidRPr="035BFF2E">
        <w:rPr>
          <w:lang w:val="fr-FR"/>
        </w:rPr>
        <w:t>Simandou</w:t>
      </w:r>
      <w:proofErr w:type="spellEnd"/>
      <w:r w:rsidRPr="035BFF2E">
        <w:rPr>
          <w:lang w:val="fr-FR"/>
        </w:rPr>
        <w:t xml:space="preserve">, s'élèvent en moyenne à environ </w:t>
      </w:r>
      <w:r w:rsidR="06F304BC" w:rsidRPr="035BFF2E">
        <w:rPr>
          <w:lang w:val="fr-FR"/>
        </w:rPr>
        <w:t>700</w:t>
      </w:r>
      <w:r w:rsidRPr="035BFF2E">
        <w:rPr>
          <w:lang w:val="fr-FR"/>
        </w:rPr>
        <w:t xml:space="preserve"> milli</w:t>
      </w:r>
      <w:r w:rsidR="16AFC093" w:rsidRPr="035BFF2E">
        <w:rPr>
          <w:lang w:val="fr-FR"/>
        </w:rPr>
        <w:t>ons</w:t>
      </w:r>
      <w:r w:rsidRPr="035BFF2E">
        <w:rPr>
          <w:lang w:val="fr-FR"/>
        </w:rPr>
        <w:t xml:space="preserve"> de dollars entre 2026 et 2034, et à environ 1,</w:t>
      </w:r>
      <w:r w:rsidR="350B3ECA" w:rsidRPr="035BFF2E">
        <w:rPr>
          <w:lang w:val="fr-FR"/>
        </w:rPr>
        <w:t>6</w:t>
      </w:r>
      <w:r w:rsidRPr="035BFF2E">
        <w:rPr>
          <w:lang w:val="fr-FR"/>
        </w:rPr>
        <w:t xml:space="preserve"> milliard de dollars</w:t>
      </w:r>
      <w:r w:rsidR="5F17A6C9" w:rsidRPr="035BFF2E">
        <w:rPr>
          <w:lang w:val="fr-FR"/>
        </w:rPr>
        <w:t xml:space="preserve"> par an</w:t>
      </w:r>
      <w:r w:rsidRPr="035BFF2E">
        <w:rPr>
          <w:lang w:val="fr-FR"/>
        </w:rPr>
        <w:t xml:space="preserve"> à partir de 2035. </w:t>
      </w:r>
      <w:r w:rsidR="4107F408" w:rsidRPr="00DC6E23">
        <w:rPr>
          <w:lang w:val="fr-FR"/>
        </w:rPr>
        <w:t xml:space="preserve">Tous les détails relatifs aux revenus modélisés sont disponibles dans la feuille </w:t>
      </w:r>
      <w:proofErr w:type="spellStart"/>
      <w:r w:rsidR="4107F408" w:rsidRPr="00DC6E23">
        <w:rPr>
          <w:lang w:val="fr-FR"/>
        </w:rPr>
        <w:t>FiscalModel</w:t>
      </w:r>
      <w:proofErr w:type="spellEnd"/>
      <w:r w:rsidR="4107F408" w:rsidRPr="00DC6E23">
        <w:rPr>
          <w:lang w:val="fr-FR"/>
        </w:rPr>
        <w:t xml:space="preserve"> du modèle FARI.</w:t>
      </w:r>
    </w:p>
    <w:p w14:paraId="76A2044A" w14:textId="62A19585" w:rsidR="00812E01" w:rsidRPr="00DC6E23" w:rsidRDefault="40842E7E" w:rsidP="00D676AE">
      <w:pPr>
        <w:pStyle w:val="Paragraphedeliste"/>
        <w:spacing w:line="259" w:lineRule="auto"/>
        <w:rPr>
          <w:lang w:val="fr-FR"/>
        </w:rPr>
      </w:pPr>
      <w:r w:rsidRPr="035BFF2E">
        <w:rPr>
          <w:b/>
          <w:bCs/>
          <w:lang w:val="fr-FR"/>
        </w:rPr>
        <w:t xml:space="preserve">Tableau </w:t>
      </w:r>
      <w:r w:rsidR="005F6609">
        <w:rPr>
          <w:b/>
          <w:bCs/>
          <w:lang w:val="fr-FR"/>
        </w:rPr>
        <w:t>4</w:t>
      </w:r>
      <w:r w:rsidRPr="035BFF2E">
        <w:rPr>
          <w:b/>
          <w:bCs/>
          <w:lang w:val="fr-FR"/>
        </w:rPr>
        <w:t xml:space="preserve"> : Résumé</w:t>
      </w:r>
      <w:r w:rsidR="44BD3C41" w:rsidRPr="035BFF2E">
        <w:rPr>
          <w:b/>
          <w:bCs/>
          <w:lang w:val="fr-FR"/>
        </w:rPr>
        <w:t xml:space="preserve"> </w:t>
      </w:r>
      <w:r w:rsidRPr="035BFF2E">
        <w:rPr>
          <w:b/>
          <w:bCs/>
          <w:lang w:val="fr-FR"/>
        </w:rPr>
        <w:t xml:space="preserve">des recettes totales du gouvernement (voir la feuille de résultats de </w:t>
      </w:r>
      <w:proofErr w:type="spellStart"/>
      <w:r w:rsidRPr="035BFF2E">
        <w:rPr>
          <w:b/>
          <w:bCs/>
          <w:lang w:val="fr-FR"/>
        </w:rPr>
        <w:t>Simandou</w:t>
      </w:r>
      <w:proofErr w:type="spellEnd"/>
      <w:r w:rsidRPr="035BFF2E">
        <w:rPr>
          <w:b/>
          <w:bCs/>
          <w:lang w:val="fr-FR"/>
        </w:rPr>
        <w:t xml:space="preserve"> dans le modèle)</w:t>
      </w:r>
    </w:p>
    <w:tbl>
      <w:tblPr>
        <w:tblStyle w:val="TableauGrille4-Accentuation1"/>
        <w:tblW w:w="0" w:type="auto"/>
        <w:tblInd w:w="-780" w:type="dxa"/>
        <w:tblLook w:val="06A0" w:firstRow="1" w:lastRow="0" w:firstColumn="1" w:lastColumn="0" w:noHBand="1" w:noVBand="1"/>
      </w:tblPr>
      <w:tblGrid>
        <w:gridCol w:w="982"/>
        <w:gridCol w:w="4462"/>
        <w:gridCol w:w="833"/>
        <w:gridCol w:w="830"/>
        <w:gridCol w:w="929"/>
        <w:gridCol w:w="903"/>
        <w:gridCol w:w="903"/>
      </w:tblGrid>
      <w:tr w:rsidR="035BFF2E" w14:paraId="4A2BDC9E" w14:textId="77777777" w:rsidTr="035BFF2E">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00" w:type="dxa"/>
          </w:tcPr>
          <w:p w14:paraId="2C475FB1" w14:textId="3B5CDBA8" w:rsidR="035BFF2E" w:rsidRPr="00DC6E23" w:rsidRDefault="035BFF2E" w:rsidP="035BFF2E">
            <w:pPr>
              <w:spacing w:before="0" w:after="0"/>
              <w:rPr>
                <w:rFonts w:ascii="Calibri" w:eastAsia="Calibri" w:hAnsi="Calibri" w:cs="Calibri"/>
                <w:b w:val="0"/>
                <w:bCs w:val="0"/>
                <w:color w:val="000000" w:themeColor="text1"/>
                <w:szCs w:val="22"/>
                <w:lang w:val="fr-FR"/>
              </w:rPr>
            </w:pPr>
          </w:p>
        </w:tc>
        <w:tc>
          <w:tcPr>
            <w:tcW w:w="5359" w:type="dxa"/>
          </w:tcPr>
          <w:p w14:paraId="543DFCC8" w14:textId="780BE782" w:rsidR="035BFF2E" w:rsidRPr="00DC6E23" w:rsidRDefault="035BFF2E" w:rsidP="035BFF2E">
            <w:pPr>
              <w:spacing w:before="0"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fr-FR"/>
              </w:rPr>
            </w:pPr>
            <w:r w:rsidRPr="00DC6E23">
              <w:rPr>
                <w:rFonts w:ascii="Calibri" w:eastAsia="Calibri" w:hAnsi="Calibri" w:cs="Calibri"/>
                <w:b w:val="0"/>
                <w:bCs w:val="0"/>
                <w:color w:val="000000" w:themeColor="text1"/>
                <w:szCs w:val="22"/>
                <w:lang w:val="fr-FR"/>
              </w:rPr>
              <w:t xml:space="preserve"> </w:t>
            </w:r>
          </w:p>
        </w:tc>
        <w:tc>
          <w:tcPr>
            <w:tcW w:w="958" w:type="dxa"/>
          </w:tcPr>
          <w:p w14:paraId="4F624E83" w14:textId="7E9E3EAB" w:rsidR="035BFF2E" w:rsidRPr="00DC6E23" w:rsidRDefault="035BFF2E" w:rsidP="035BFF2E">
            <w:pPr>
              <w:spacing w:before="0"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fr-FR"/>
              </w:rPr>
            </w:pPr>
            <w:r w:rsidRPr="00DC6E23">
              <w:rPr>
                <w:rFonts w:ascii="Calibri" w:eastAsia="Calibri" w:hAnsi="Calibri" w:cs="Calibri"/>
                <w:b w:val="0"/>
                <w:bCs w:val="0"/>
                <w:color w:val="000000" w:themeColor="text1"/>
                <w:szCs w:val="22"/>
                <w:lang w:val="fr-FR"/>
              </w:rPr>
              <w:t xml:space="preserve"> </w:t>
            </w:r>
          </w:p>
        </w:tc>
        <w:tc>
          <w:tcPr>
            <w:tcW w:w="968" w:type="dxa"/>
          </w:tcPr>
          <w:p w14:paraId="60517DC6" w14:textId="3FD360CB" w:rsidR="035BFF2E" w:rsidRPr="00DC6E23" w:rsidRDefault="035BFF2E" w:rsidP="035BFF2E">
            <w:pPr>
              <w:spacing w:before="0" w:after="0"/>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fr-FR"/>
              </w:rPr>
            </w:pPr>
            <w:r w:rsidRPr="00DC6E23">
              <w:rPr>
                <w:rFonts w:ascii="Calibri" w:eastAsia="Calibri" w:hAnsi="Calibri" w:cs="Calibri"/>
                <w:b w:val="0"/>
                <w:bCs w:val="0"/>
                <w:color w:val="000000" w:themeColor="text1"/>
                <w:szCs w:val="22"/>
                <w:lang w:val="fr-FR"/>
              </w:rPr>
              <w:t xml:space="preserve"> </w:t>
            </w:r>
          </w:p>
        </w:tc>
        <w:tc>
          <w:tcPr>
            <w:tcW w:w="2865" w:type="dxa"/>
            <w:gridSpan w:val="3"/>
          </w:tcPr>
          <w:p w14:paraId="77DE2F3C" w14:textId="4F0F253E" w:rsidR="035BFF2E" w:rsidRDefault="035BFF2E" w:rsidP="035BFF2E">
            <w:pPr>
              <w:spacing w:before="0" w:after="0"/>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0"/>
                <w:szCs w:val="20"/>
                <w:lang w:val="en-US"/>
              </w:rPr>
            </w:pPr>
            <w:r w:rsidRPr="00DC6E23">
              <w:rPr>
                <w:rFonts w:ascii="Calibri" w:eastAsia="Calibri" w:hAnsi="Calibri" w:cs="Calibri"/>
                <w:sz w:val="20"/>
                <w:szCs w:val="20"/>
                <w:lang w:val="fr-FR"/>
              </w:rPr>
              <w:t xml:space="preserve"> </w:t>
            </w:r>
            <w:proofErr w:type="spellStart"/>
            <w:r w:rsidRPr="035BFF2E">
              <w:rPr>
                <w:rFonts w:ascii="Calibri" w:eastAsia="Calibri" w:hAnsi="Calibri" w:cs="Calibri"/>
                <w:sz w:val="20"/>
                <w:szCs w:val="20"/>
                <w:lang w:val="en-US"/>
              </w:rPr>
              <w:t>Scénarios</w:t>
            </w:r>
            <w:proofErr w:type="spellEnd"/>
            <w:r w:rsidRPr="035BFF2E">
              <w:rPr>
                <w:rFonts w:ascii="Calibri" w:eastAsia="Calibri" w:hAnsi="Calibri" w:cs="Calibri"/>
                <w:sz w:val="20"/>
                <w:szCs w:val="20"/>
                <w:lang w:val="en-US"/>
              </w:rPr>
              <w:t xml:space="preserve"> de prix </w:t>
            </w:r>
          </w:p>
        </w:tc>
      </w:tr>
      <w:tr w:rsidR="035BFF2E" w14:paraId="4BB8AD11" w14:textId="77777777" w:rsidTr="035BFF2E">
        <w:trPr>
          <w:trHeight w:val="300"/>
        </w:trPr>
        <w:tc>
          <w:tcPr>
            <w:cnfStyle w:val="001000000000" w:firstRow="0" w:lastRow="0" w:firstColumn="1" w:lastColumn="0" w:oddVBand="0" w:evenVBand="0" w:oddHBand="0" w:evenHBand="0" w:firstRowFirstColumn="0" w:firstRowLastColumn="0" w:lastRowFirstColumn="0" w:lastRowLastColumn="0"/>
            <w:tcW w:w="6459" w:type="dxa"/>
            <w:gridSpan w:val="2"/>
          </w:tcPr>
          <w:p w14:paraId="25E973C8" w14:textId="405FCCDC" w:rsidR="035BFF2E" w:rsidRPr="00DC6E23" w:rsidRDefault="035BFF2E" w:rsidP="035BFF2E">
            <w:pPr>
              <w:spacing w:before="0" w:after="0"/>
              <w:jc w:val="center"/>
              <w:rPr>
                <w:rFonts w:ascii="Calibri" w:eastAsia="Calibri" w:hAnsi="Calibri" w:cs="Calibri"/>
                <w:color w:val="000000" w:themeColor="text1"/>
                <w:szCs w:val="22"/>
                <w:lang w:val="fr-FR"/>
              </w:rPr>
            </w:pPr>
            <w:r w:rsidRPr="00DC6E23">
              <w:rPr>
                <w:rFonts w:ascii="Calibri" w:eastAsia="Calibri" w:hAnsi="Calibri" w:cs="Calibri"/>
                <w:color w:val="000000" w:themeColor="text1"/>
                <w:szCs w:val="22"/>
                <w:lang w:val="fr-FR"/>
              </w:rPr>
              <w:t xml:space="preserve"> Recettes de l'Etat par type de taxes (en millions de dollars réel) </w:t>
            </w:r>
          </w:p>
        </w:tc>
        <w:tc>
          <w:tcPr>
            <w:tcW w:w="958" w:type="dxa"/>
          </w:tcPr>
          <w:p w14:paraId="2595C7BB" w14:textId="3EC94EEF" w:rsidR="035BFF2E" w:rsidRPr="00DC6E23"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fr-FR"/>
              </w:rPr>
            </w:pPr>
            <w:r w:rsidRPr="00DC6E23">
              <w:rPr>
                <w:rFonts w:ascii="Calibri" w:eastAsia="Calibri" w:hAnsi="Calibri" w:cs="Calibri"/>
                <w:color w:val="000000" w:themeColor="text1"/>
                <w:szCs w:val="22"/>
                <w:lang w:val="fr-FR"/>
              </w:rPr>
              <w:t xml:space="preserve"> </w:t>
            </w:r>
          </w:p>
        </w:tc>
        <w:tc>
          <w:tcPr>
            <w:tcW w:w="968" w:type="dxa"/>
          </w:tcPr>
          <w:p w14:paraId="2DEBADDC" w14:textId="2815616D" w:rsidR="035BFF2E" w:rsidRPr="00DC6E23"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fr-FR"/>
              </w:rPr>
            </w:pPr>
            <w:r w:rsidRPr="00DC6E23">
              <w:rPr>
                <w:rFonts w:ascii="Calibri" w:eastAsia="Calibri" w:hAnsi="Calibri" w:cs="Calibri"/>
                <w:color w:val="000000" w:themeColor="text1"/>
                <w:szCs w:val="22"/>
                <w:lang w:val="fr-FR"/>
              </w:rPr>
              <w:t xml:space="preserve"> </w:t>
            </w:r>
          </w:p>
        </w:tc>
        <w:tc>
          <w:tcPr>
            <w:tcW w:w="957" w:type="dxa"/>
          </w:tcPr>
          <w:p w14:paraId="71A3C1C8" w14:textId="13538499"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0DC6E23">
              <w:rPr>
                <w:rFonts w:ascii="Calibri" w:eastAsia="Calibri" w:hAnsi="Calibri" w:cs="Calibri"/>
                <w:color w:val="000000" w:themeColor="text1"/>
                <w:szCs w:val="22"/>
                <w:lang w:val="fr-FR"/>
              </w:rPr>
              <w:t xml:space="preserve"> </w:t>
            </w:r>
            <w:r w:rsidRPr="035BFF2E">
              <w:rPr>
                <w:rFonts w:ascii="Calibri" w:eastAsia="Calibri" w:hAnsi="Calibri" w:cs="Calibri"/>
                <w:color w:val="000000" w:themeColor="text1"/>
                <w:szCs w:val="22"/>
              </w:rPr>
              <w:t xml:space="preserve">$100/t </w:t>
            </w:r>
          </w:p>
        </w:tc>
        <w:tc>
          <w:tcPr>
            <w:tcW w:w="954" w:type="dxa"/>
          </w:tcPr>
          <w:p w14:paraId="3FCC332F" w14:textId="0B9FE083"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 $80/t </w:t>
            </w:r>
          </w:p>
        </w:tc>
        <w:tc>
          <w:tcPr>
            <w:tcW w:w="954" w:type="dxa"/>
          </w:tcPr>
          <w:p w14:paraId="51160964" w14:textId="2BCB7AB3"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 $70/t </w:t>
            </w:r>
          </w:p>
        </w:tc>
      </w:tr>
      <w:tr w:rsidR="035BFF2E" w14:paraId="18F25D8A" w14:textId="77777777" w:rsidTr="035BFF2E">
        <w:trPr>
          <w:trHeight w:val="285"/>
        </w:trPr>
        <w:tc>
          <w:tcPr>
            <w:cnfStyle w:val="001000000000" w:firstRow="0" w:lastRow="0" w:firstColumn="1" w:lastColumn="0" w:oddVBand="0" w:evenVBand="0" w:oddHBand="0" w:evenHBand="0" w:firstRowFirstColumn="0" w:firstRowLastColumn="0" w:lastRowFirstColumn="0" w:lastRowLastColumn="0"/>
            <w:tcW w:w="6459" w:type="dxa"/>
            <w:gridSpan w:val="2"/>
          </w:tcPr>
          <w:p w14:paraId="2BFFC3C8" w14:textId="5BDF8100" w:rsidR="035BFF2E" w:rsidRPr="00DC6E23" w:rsidRDefault="035BFF2E" w:rsidP="035BFF2E">
            <w:pPr>
              <w:spacing w:before="0" w:after="0"/>
              <w:rPr>
                <w:rFonts w:ascii="Calibri" w:eastAsia="Calibri" w:hAnsi="Calibri" w:cs="Calibri"/>
                <w:b w:val="0"/>
                <w:bCs w:val="0"/>
                <w:color w:val="000000" w:themeColor="text1"/>
                <w:szCs w:val="22"/>
                <w:lang w:val="fr-FR"/>
              </w:rPr>
            </w:pPr>
            <w:r w:rsidRPr="00DC6E23">
              <w:rPr>
                <w:rFonts w:ascii="Calibri" w:eastAsia="Calibri" w:hAnsi="Calibri" w:cs="Calibri"/>
                <w:b w:val="0"/>
                <w:bCs w:val="0"/>
                <w:color w:val="000000" w:themeColor="text1"/>
                <w:szCs w:val="22"/>
                <w:lang w:val="fr-FR"/>
              </w:rPr>
              <w:t xml:space="preserve"> Redevances (Taxes minières</w:t>
            </w:r>
            <w:r w:rsidR="17702BB4" w:rsidRPr="00DC6E23">
              <w:rPr>
                <w:rFonts w:ascii="Calibri" w:eastAsia="Calibri" w:hAnsi="Calibri" w:cs="Calibri"/>
                <w:b w:val="0"/>
                <w:bCs w:val="0"/>
                <w:color w:val="000000" w:themeColor="text1"/>
                <w:szCs w:val="22"/>
                <w:lang w:val="fr-FR"/>
              </w:rPr>
              <w:t xml:space="preserve"> et la Contribution Economique Locale</w:t>
            </w:r>
            <w:r w:rsidRPr="00DC6E23">
              <w:rPr>
                <w:rFonts w:ascii="Calibri" w:eastAsia="Calibri" w:hAnsi="Calibri" w:cs="Calibri"/>
                <w:b w:val="0"/>
                <w:bCs w:val="0"/>
                <w:color w:val="000000" w:themeColor="text1"/>
                <w:szCs w:val="22"/>
                <w:lang w:val="fr-FR"/>
              </w:rPr>
              <w:t xml:space="preserve">) </w:t>
            </w:r>
          </w:p>
        </w:tc>
        <w:tc>
          <w:tcPr>
            <w:tcW w:w="1926" w:type="dxa"/>
            <w:gridSpan w:val="2"/>
          </w:tcPr>
          <w:p w14:paraId="179C9823" w14:textId="6427E7FB"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0DC6E23">
              <w:rPr>
                <w:rFonts w:ascii="Calibri" w:eastAsia="Calibri" w:hAnsi="Calibri" w:cs="Calibri"/>
                <w:color w:val="000000" w:themeColor="text1"/>
                <w:szCs w:val="22"/>
                <w:lang w:val="fr-FR"/>
              </w:rPr>
              <w:t xml:space="preserve"> </w:t>
            </w:r>
            <w:r w:rsidRPr="035BFF2E">
              <w:rPr>
                <w:rFonts w:ascii="Calibri" w:eastAsia="Calibri" w:hAnsi="Calibri" w:cs="Calibri"/>
                <w:color w:val="000000" w:themeColor="text1"/>
                <w:szCs w:val="22"/>
                <w:lang w:val="en-US"/>
              </w:rPr>
              <w:t xml:space="preserve">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64471BA9" w14:textId="1BE1EAF1"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14 301 </w:t>
            </w:r>
          </w:p>
        </w:tc>
        <w:tc>
          <w:tcPr>
            <w:tcW w:w="954" w:type="dxa"/>
          </w:tcPr>
          <w:p w14:paraId="6B517114" w14:textId="55DF4065"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11 547 </w:t>
            </w:r>
          </w:p>
        </w:tc>
        <w:tc>
          <w:tcPr>
            <w:tcW w:w="954" w:type="dxa"/>
          </w:tcPr>
          <w:p w14:paraId="6B8DF610" w14:textId="312CF2FF"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10 169 </w:t>
            </w:r>
          </w:p>
        </w:tc>
      </w:tr>
      <w:tr w:rsidR="035BFF2E" w14:paraId="701B7B58" w14:textId="77777777" w:rsidTr="035BFF2E">
        <w:trPr>
          <w:trHeight w:val="285"/>
        </w:trPr>
        <w:tc>
          <w:tcPr>
            <w:cnfStyle w:val="001000000000" w:firstRow="0" w:lastRow="0" w:firstColumn="1" w:lastColumn="0" w:oddVBand="0" w:evenVBand="0" w:oddHBand="0" w:evenHBand="0" w:firstRowFirstColumn="0" w:firstRowLastColumn="0" w:lastRowFirstColumn="0" w:lastRowLastColumn="0"/>
            <w:tcW w:w="6459" w:type="dxa"/>
            <w:gridSpan w:val="2"/>
          </w:tcPr>
          <w:p w14:paraId="48FFE96A" w14:textId="6A5CB6EB" w:rsidR="035BFF2E" w:rsidRDefault="035BFF2E" w:rsidP="035BFF2E">
            <w:pPr>
              <w:spacing w:before="0" w:after="0"/>
              <w:rPr>
                <w:rFonts w:ascii="Calibri" w:eastAsia="Calibri" w:hAnsi="Calibri" w:cs="Calibri"/>
                <w:b w:val="0"/>
                <w:bCs w:val="0"/>
                <w:color w:val="000000" w:themeColor="text1"/>
                <w:szCs w:val="22"/>
                <w:lang w:val="en-US"/>
              </w:rPr>
            </w:pPr>
            <w:r w:rsidRPr="035BFF2E">
              <w:rPr>
                <w:rFonts w:ascii="Calibri" w:eastAsia="Calibri" w:hAnsi="Calibri" w:cs="Calibri"/>
                <w:b w:val="0"/>
                <w:bCs w:val="0"/>
                <w:color w:val="000000" w:themeColor="text1"/>
                <w:szCs w:val="22"/>
                <w:lang w:val="en-US"/>
              </w:rPr>
              <w:t xml:space="preserve"> </w:t>
            </w:r>
            <w:proofErr w:type="spellStart"/>
            <w:r w:rsidRPr="035BFF2E">
              <w:rPr>
                <w:rFonts w:ascii="Calibri" w:eastAsia="Calibri" w:hAnsi="Calibri" w:cs="Calibri"/>
                <w:b w:val="0"/>
                <w:bCs w:val="0"/>
                <w:color w:val="000000" w:themeColor="text1"/>
                <w:szCs w:val="22"/>
                <w:lang w:val="en-US"/>
              </w:rPr>
              <w:t>Impôt</w:t>
            </w:r>
            <w:proofErr w:type="spellEnd"/>
            <w:r w:rsidRPr="035BFF2E">
              <w:rPr>
                <w:rFonts w:ascii="Calibri" w:eastAsia="Calibri" w:hAnsi="Calibri" w:cs="Calibri"/>
                <w:b w:val="0"/>
                <w:bCs w:val="0"/>
                <w:color w:val="000000" w:themeColor="text1"/>
                <w:szCs w:val="22"/>
                <w:lang w:val="en-US"/>
              </w:rPr>
              <w:t xml:space="preserve"> sur les sociétés </w:t>
            </w:r>
          </w:p>
        </w:tc>
        <w:tc>
          <w:tcPr>
            <w:tcW w:w="1926" w:type="dxa"/>
            <w:gridSpan w:val="2"/>
          </w:tcPr>
          <w:p w14:paraId="6120A9E9" w14:textId="4C7B225B"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35BFF2E">
              <w:rPr>
                <w:rFonts w:ascii="Calibri" w:eastAsia="Calibri" w:hAnsi="Calibri" w:cs="Calibri"/>
                <w:color w:val="000000" w:themeColor="text1"/>
                <w:szCs w:val="22"/>
                <w:lang w:val="en-US"/>
              </w:rPr>
              <w:t xml:space="preserve"> 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21D08572" w14:textId="1E548443"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40 561 </w:t>
            </w:r>
          </w:p>
        </w:tc>
        <w:tc>
          <w:tcPr>
            <w:tcW w:w="954" w:type="dxa"/>
          </w:tcPr>
          <w:p w14:paraId="645723D5" w14:textId="099BAF7C"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27 205 </w:t>
            </w:r>
          </w:p>
        </w:tc>
        <w:tc>
          <w:tcPr>
            <w:tcW w:w="954" w:type="dxa"/>
          </w:tcPr>
          <w:p w14:paraId="635141DA" w14:textId="53680EBC"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20 545 </w:t>
            </w:r>
          </w:p>
        </w:tc>
      </w:tr>
      <w:tr w:rsidR="035BFF2E" w14:paraId="1D64C63A" w14:textId="77777777" w:rsidTr="035BFF2E">
        <w:trPr>
          <w:trHeight w:val="285"/>
        </w:trPr>
        <w:tc>
          <w:tcPr>
            <w:cnfStyle w:val="001000000000" w:firstRow="0" w:lastRow="0" w:firstColumn="1" w:lastColumn="0" w:oddVBand="0" w:evenVBand="0" w:oddHBand="0" w:evenHBand="0" w:firstRowFirstColumn="0" w:firstRowLastColumn="0" w:lastRowFirstColumn="0" w:lastRowLastColumn="0"/>
            <w:tcW w:w="6459" w:type="dxa"/>
            <w:gridSpan w:val="2"/>
          </w:tcPr>
          <w:p w14:paraId="13C43D82" w14:textId="0A1AAF28" w:rsidR="035BFF2E" w:rsidRPr="00DC6E23" w:rsidRDefault="035BFF2E" w:rsidP="035BFF2E">
            <w:pPr>
              <w:spacing w:before="0" w:after="0"/>
              <w:rPr>
                <w:rFonts w:ascii="Calibri" w:eastAsia="Calibri" w:hAnsi="Calibri" w:cs="Calibri"/>
                <w:b w:val="0"/>
                <w:bCs w:val="0"/>
                <w:color w:val="000000" w:themeColor="text1"/>
                <w:szCs w:val="22"/>
                <w:lang w:val="fr-FR"/>
              </w:rPr>
            </w:pPr>
            <w:r w:rsidRPr="00DC6E23">
              <w:rPr>
                <w:rFonts w:ascii="Calibri" w:eastAsia="Calibri" w:hAnsi="Calibri" w:cs="Calibri"/>
                <w:b w:val="0"/>
                <w:bCs w:val="0"/>
                <w:color w:val="000000" w:themeColor="text1"/>
                <w:szCs w:val="22"/>
                <w:lang w:val="fr-FR"/>
              </w:rPr>
              <w:t xml:space="preserve"> Retenue à la source sur les intérêts </w:t>
            </w:r>
          </w:p>
        </w:tc>
        <w:tc>
          <w:tcPr>
            <w:tcW w:w="1926" w:type="dxa"/>
            <w:gridSpan w:val="2"/>
          </w:tcPr>
          <w:p w14:paraId="48316631" w14:textId="1F38E6FF"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0DC6E23">
              <w:rPr>
                <w:rFonts w:ascii="Calibri" w:eastAsia="Calibri" w:hAnsi="Calibri" w:cs="Calibri"/>
                <w:color w:val="000000" w:themeColor="text1"/>
                <w:szCs w:val="22"/>
                <w:lang w:val="fr-FR"/>
              </w:rPr>
              <w:t xml:space="preserve"> </w:t>
            </w:r>
            <w:r w:rsidRPr="035BFF2E">
              <w:rPr>
                <w:rFonts w:ascii="Calibri" w:eastAsia="Calibri" w:hAnsi="Calibri" w:cs="Calibri"/>
                <w:color w:val="000000" w:themeColor="text1"/>
                <w:szCs w:val="22"/>
                <w:lang w:val="en-US"/>
              </w:rPr>
              <w:t xml:space="preserve">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78E39500" w14:textId="52B7E834"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208 </w:t>
            </w:r>
          </w:p>
        </w:tc>
        <w:tc>
          <w:tcPr>
            <w:tcW w:w="954" w:type="dxa"/>
          </w:tcPr>
          <w:p w14:paraId="4D217629" w14:textId="5BCE1222"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208 </w:t>
            </w:r>
          </w:p>
        </w:tc>
        <w:tc>
          <w:tcPr>
            <w:tcW w:w="954" w:type="dxa"/>
          </w:tcPr>
          <w:p w14:paraId="0B39FBB8" w14:textId="6A845086"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208 </w:t>
            </w:r>
          </w:p>
        </w:tc>
      </w:tr>
      <w:tr w:rsidR="035BFF2E" w14:paraId="0F471A4A" w14:textId="77777777" w:rsidTr="035BFF2E">
        <w:trPr>
          <w:trHeight w:val="285"/>
        </w:trPr>
        <w:tc>
          <w:tcPr>
            <w:cnfStyle w:val="001000000000" w:firstRow="0" w:lastRow="0" w:firstColumn="1" w:lastColumn="0" w:oddVBand="0" w:evenVBand="0" w:oddHBand="0" w:evenHBand="0" w:firstRowFirstColumn="0" w:firstRowLastColumn="0" w:lastRowFirstColumn="0" w:lastRowLastColumn="0"/>
            <w:tcW w:w="6459" w:type="dxa"/>
            <w:gridSpan w:val="2"/>
          </w:tcPr>
          <w:p w14:paraId="0885A107" w14:textId="738C05BA" w:rsidR="035BFF2E" w:rsidRPr="00DC6E23" w:rsidRDefault="035BFF2E" w:rsidP="035BFF2E">
            <w:pPr>
              <w:spacing w:before="0" w:after="0"/>
              <w:rPr>
                <w:rFonts w:ascii="Calibri" w:eastAsia="Calibri" w:hAnsi="Calibri" w:cs="Calibri"/>
                <w:b w:val="0"/>
                <w:bCs w:val="0"/>
                <w:color w:val="000000" w:themeColor="text1"/>
                <w:szCs w:val="22"/>
                <w:lang w:val="fr-FR"/>
              </w:rPr>
            </w:pPr>
            <w:r w:rsidRPr="00DC6E23">
              <w:rPr>
                <w:rFonts w:ascii="Calibri" w:eastAsia="Calibri" w:hAnsi="Calibri" w:cs="Calibri"/>
                <w:b w:val="0"/>
                <w:bCs w:val="0"/>
                <w:color w:val="000000" w:themeColor="text1"/>
                <w:szCs w:val="22"/>
                <w:lang w:val="fr-FR"/>
              </w:rPr>
              <w:t xml:space="preserve"> Revenus du gouvernement, hors participations </w:t>
            </w:r>
          </w:p>
        </w:tc>
        <w:tc>
          <w:tcPr>
            <w:tcW w:w="1926" w:type="dxa"/>
            <w:gridSpan w:val="2"/>
          </w:tcPr>
          <w:p w14:paraId="51B1D601" w14:textId="5FECE88B"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0DC6E23">
              <w:rPr>
                <w:rFonts w:ascii="Calibri" w:eastAsia="Calibri" w:hAnsi="Calibri" w:cs="Calibri"/>
                <w:color w:val="000000" w:themeColor="text1"/>
                <w:szCs w:val="22"/>
                <w:lang w:val="fr-FR"/>
              </w:rPr>
              <w:t xml:space="preserve"> </w:t>
            </w:r>
            <w:r w:rsidRPr="035BFF2E">
              <w:rPr>
                <w:rFonts w:ascii="Calibri" w:eastAsia="Calibri" w:hAnsi="Calibri" w:cs="Calibri"/>
                <w:color w:val="000000" w:themeColor="text1"/>
                <w:szCs w:val="22"/>
                <w:lang w:val="en-US"/>
              </w:rPr>
              <w:t xml:space="preserve">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5433A994" w14:textId="7C0D6A91"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55 071 </w:t>
            </w:r>
          </w:p>
        </w:tc>
        <w:tc>
          <w:tcPr>
            <w:tcW w:w="954" w:type="dxa"/>
          </w:tcPr>
          <w:p w14:paraId="08F83AF6" w14:textId="7CA5E3AB"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38 960 </w:t>
            </w:r>
          </w:p>
        </w:tc>
        <w:tc>
          <w:tcPr>
            <w:tcW w:w="954" w:type="dxa"/>
          </w:tcPr>
          <w:p w14:paraId="7CD31B2A" w14:textId="6BDB5956"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30 922 </w:t>
            </w:r>
          </w:p>
        </w:tc>
      </w:tr>
      <w:tr w:rsidR="035BFF2E" w14:paraId="1A16D448" w14:textId="77777777" w:rsidTr="035BFF2E">
        <w:trPr>
          <w:trHeight w:val="285"/>
        </w:trPr>
        <w:tc>
          <w:tcPr>
            <w:cnfStyle w:val="001000000000" w:firstRow="0" w:lastRow="0" w:firstColumn="1" w:lastColumn="0" w:oddVBand="0" w:evenVBand="0" w:oddHBand="0" w:evenHBand="0" w:firstRowFirstColumn="0" w:firstRowLastColumn="0" w:lastRowFirstColumn="0" w:lastRowLastColumn="0"/>
            <w:tcW w:w="6459" w:type="dxa"/>
            <w:gridSpan w:val="2"/>
          </w:tcPr>
          <w:p w14:paraId="1ACBCA2C" w14:textId="65C3FD78" w:rsidR="035BFF2E" w:rsidRDefault="035BFF2E" w:rsidP="035BFF2E">
            <w:pPr>
              <w:spacing w:before="0" w:after="0"/>
              <w:rPr>
                <w:rFonts w:ascii="Calibri" w:eastAsia="Calibri" w:hAnsi="Calibri" w:cs="Calibri"/>
                <w:b w:val="0"/>
                <w:bCs w:val="0"/>
                <w:color w:val="000000" w:themeColor="text1"/>
                <w:szCs w:val="22"/>
                <w:lang w:val="en-US"/>
              </w:rPr>
            </w:pPr>
            <w:r w:rsidRPr="035BFF2E">
              <w:rPr>
                <w:rFonts w:ascii="Calibri" w:eastAsia="Calibri" w:hAnsi="Calibri" w:cs="Calibri"/>
                <w:b w:val="0"/>
                <w:bCs w:val="0"/>
                <w:color w:val="000000" w:themeColor="text1"/>
                <w:szCs w:val="22"/>
                <w:lang w:val="en-US"/>
              </w:rPr>
              <w:t xml:space="preserve"> </w:t>
            </w:r>
            <w:proofErr w:type="spellStart"/>
            <w:r w:rsidR="663F4BAC" w:rsidRPr="035BFF2E">
              <w:rPr>
                <w:rFonts w:ascii="Calibri" w:eastAsia="Calibri" w:hAnsi="Calibri" w:cs="Calibri"/>
                <w:b w:val="0"/>
                <w:bCs w:val="0"/>
                <w:color w:val="000000" w:themeColor="text1"/>
                <w:szCs w:val="22"/>
                <w:lang w:val="en-US"/>
              </w:rPr>
              <w:t>Dividendes</w:t>
            </w:r>
            <w:proofErr w:type="spellEnd"/>
            <w:r w:rsidRPr="035BFF2E">
              <w:rPr>
                <w:rFonts w:ascii="Calibri" w:eastAsia="Calibri" w:hAnsi="Calibri" w:cs="Calibri"/>
                <w:b w:val="0"/>
                <w:bCs w:val="0"/>
                <w:color w:val="000000" w:themeColor="text1"/>
                <w:szCs w:val="22"/>
                <w:lang w:val="en-US"/>
              </w:rPr>
              <w:t xml:space="preserve"> participation de </w:t>
            </w:r>
            <w:proofErr w:type="spellStart"/>
            <w:r w:rsidRPr="035BFF2E">
              <w:rPr>
                <w:rFonts w:ascii="Calibri" w:eastAsia="Calibri" w:hAnsi="Calibri" w:cs="Calibri"/>
                <w:b w:val="0"/>
                <w:bCs w:val="0"/>
                <w:color w:val="000000" w:themeColor="text1"/>
                <w:szCs w:val="22"/>
                <w:lang w:val="en-US"/>
              </w:rPr>
              <w:t>l'Etat</w:t>
            </w:r>
            <w:proofErr w:type="spellEnd"/>
          </w:p>
        </w:tc>
        <w:tc>
          <w:tcPr>
            <w:tcW w:w="1926" w:type="dxa"/>
            <w:gridSpan w:val="2"/>
          </w:tcPr>
          <w:p w14:paraId="01EF927C" w14:textId="0F09EA75"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35BFF2E">
              <w:rPr>
                <w:rFonts w:ascii="Calibri" w:eastAsia="Calibri" w:hAnsi="Calibri" w:cs="Calibri"/>
                <w:color w:val="000000" w:themeColor="text1"/>
                <w:szCs w:val="22"/>
                <w:lang w:val="en-US"/>
              </w:rPr>
              <w:t xml:space="preserve"> 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6F516BE8" w14:textId="025F8E26"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4 240 </w:t>
            </w:r>
          </w:p>
        </w:tc>
        <w:tc>
          <w:tcPr>
            <w:tcW w:w="954" w:type="dxa"/>
          </w:tcPr>
          <w:p w14:paraId="3CF3D637" w14:textId="64356655"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4 240 </w:t>
            </w:r>
          </w:p>
        </w:tc>
        <w:tc>
          <w:tcPr>
            <w:tcW w:w="954" w:type="dxa"/>
          </w:tcPr>
          <w:p w14:paraId="2FB6B315" w14:textId="6E1A6CBA"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4 240 </w:t>
            </w:r>
          </w:p>
        </w:tc>
      </w:tr>
      <w:tr w:rsidR="035BFF2E" w14:paraId="7308E3E3" w14:textId="77777777" w:rsidTr="035BFF2E">
        <w:trPr>
          <w:trHeight w:val="300"/>
        </w:trPr>
        <w:tc>
          <w:tcPr>
            <w:cnfStyle w:val="001000000000" w:firstRow="0" w:lastRow="0" w:firstColumn="1" w:lastColumn="0" w:oddVBand="0" w:evenVBand="0" w:oddHBand="0" w:evenHBand="0" w:firstRowFirstColumn="0" w:firstRowLastColumn="0" w:lastRowFirstColumn="0" w:lastRowLastColumn="0"/>
            <w:tcW w:w="6459" w:type="dxa"/>
            <w:gridSpan w:val="2"/>
          </w:tcPr>
          <w:p w14:paraId="79DA9EC3" w14:textId="4F932637" w:rsidR="035BFF2E" w:rsidRPr="00DC6E23" w:rsidRDefault="035BFF2E" w:rsidP="035BFF2E">
            <w:pPr>
              <w:spacing w:before="0" w:after="0"/>
              <w:rPr>
                <w:rFonts w:ascii="Calibri" w:eastAsia="Calibri" w:hAnsi="Calibri" w:cs="Calibri"/>
                <w:b w:val="0"/>
                <w:bCs w:val="0"/>
                <w:color w:val="000000" w:themeColor="text1"/>
                <w:szCs w:val="22"/>
                <w:lang w:val="fr-FR"/>
              </w:rPr>
            </w:pPr>
            <w:r w:rsidRPr="00DC6E23">
              <w:rPr>
                <w:rFonts w:ascii="Calibri" w:eastAsia="Calibri" w:hAnsi="Calibri" w:cs="Calibri"/>
                <w:b w:val="0"/>
                <w:bCs w:val="0"/>
                <w:color w:val="000000" w:themeColor="text1"/>
                <w:szCs w:val="22"/>
                <w:lang w:val="fr-FR"/>
              </w:rPr>
              <w:t xml:space="preserve"> Re</w:t>
            </w:r>
            <w:r w:rsidR="5049D22A" w:rsidRPr="00DC6E23">
              <w:rPr>
                <w:rFonts w:ascii="Calibri" w:eastAsia="Calibri" w:hAnsi="Calibri" w:cs="Calibri"/>
                <w:b w:val="0"/>
                <w:bCs w:val="0"/>
                <w:color w:val="000000" w:themeColor="text1"/>
                <w:szCs w:val="22"/>
                <w:lang w:val="fr-FR"/>
              </w:rPr>
              <w:t>cette</w:t>
            </w:r>
            <w:r w:rsidRPr="00DC6E23">
              <w:rPr>
                <w:rFonts w:ascii="Calibri" w:eastAsia="Calibri" w:hAnsi="Calibri" w:cs="Calibri"/>
                <w:b w:val="0"/>
                <w:bCs w:val="0"/>
                <w:color w:val="000000" w:themeColor="text1"/>
                <w:szCs w:val="22"/>
                <w:lang w:val="fr-FR"/>
              </w:rPr>
              <w:t xml:space="preserve">s </w:t>
            </w:r>
            <w:r w:rsidR="782EE04F" w:rsidRPr="00DC6E23">
              <w:rPr>
                <w:rFonts w:ascii="Calibri" w:eastAsia="Calibri" w:hAnsi="Calibri" w:cs="Calibri"/>
                <w:b w:val="0"/>
                <w:bCs w:val="0"/>
                <w:color w:val="000000" w:themeColor="text1"/>
                <w:szCs w:val="22"/>
                <w:lang w:val="fr-FR"/>
              </w:rPr>
              <w:t xml:space="preserve">totales </w:t>
            </w:r>
            <w:r w:rsidRPr="00DC6E23">
              <w:rPr>
                <w:rFonts w:ascii="Calibri" w:eastAsia="Calibri" w:hAnsi="Calibri" w:cs="Calibri"/>
                <w:b w:val="0"/>
                <w:bCs w:val="0"/>
                <w:color w:val="000000" w:themeColor="text1"/>
                <w:szCs w:val="22"/>
                <w:lang w:val="fr-FR"/>
              </w:rPr>
              <w:t xml:space="preserve">du gouvernement, y compris participations </w:t>
            </w:r>
          </w:p>
        </w:tc>
        <w:tc>
          <w:tcPr>
            <w:tcW w:w="1926" w:type="dxa"/>
            <w:gridSpan w:val="2"/>
          </w:tcPr>
          <w:p w14:paraId="243180CF" w14:textId="31A3DF1C" w:rsidR="035BFF2E" w:rsidRDefault="035BFF2E" w:rsidP="035BFF2E">
            <w:pPr>
              <w:spacing w:before="0" w:after="0"/>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lang w:val="en-US"/>
              </w:rPr>
            </w:pPr>
            <w:r w:rsidRPr="00DC6E23">
              <w:rPr>
                <w:rFonts w:ascii="Calibri" w:eastAsia="Calibri" w:hAnsi="Calibri" w:cs="Calibri"/>
                <w:color w:val="000000" w:themeColor="text1"/>
                <w:szCs w:val="22"/>
                <w:lang w:val="fr-FR"/>
              </w:rPr>
              <w:t xml:space="preserve"> </w:t>
            </w:r>
            <w:r w:rsidRPr="035BFF2E">
              <w:rPr>
                <w:rFonts w:ascii="Calibri" w:eastAsia="Calibri" w:hAnsi="Calibri" w:cs="Calibri"/>
                <w:color w:val="000000" w:themeColor="text1"/>
                <w:szCs w:val="22"/>
                <w:lang w:val="en-US"/>
              </w:rPr>
              <w:t xml:space="preserve">US$ </w:t>
            </w:r>
            <w:proofErr w:type="spellStart"/>
            <w:r w:rsidRPr="035BFF2E">
              <w:rPr>
                <w:rFonts w:ascii="Calibri" w:eastAsia="Calibri" w:hAnsi="Calibri" w:cs="Calibri"/>
                <w:color w:val="000000" w:themeColor="text1"/>
                <w:szCs w:val="22"/>
                <w:lang w:val="en-US"/>
              </w:rPr>
              <w:t>mn</w:t>
            </w:r>
            <w:proofErr w:type="spellEnd"/>
            <w:r w:rsidRPr="035BFF2E">
              <w:rPr>
                <w:rFonts w:ascii="Calibri" w:eastAsia="Calibri" w:hAnsi="Calibri" w:cs="Calibri"/>
                <w:color w:val="000000" w:themeColor="text1"/>
                <w:szCs w:val="22"/>
                <w:lang w:val="en-US"/>
              </w:rPr>
              <w:t xml:space="preserve"> 2023 </w:t>
            </w:r>
          </w:p>
        </w:tc>
        <w:tc>
          <w:tcPr>
            <w:tcW w:w="957" w:type="dxa"/>
          </w:tcPr>
          <w:p w14:paraId="198554A4" w14:textId="3D72FEA3"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59 311 </w:t>
            </w:r>
          </w:p>
        </w:tc>
        <w:tc>
          <w:tcPr>
            <w:tcW w:w="954" w:type="dxa"/>
          </w:tcPr>
          <w:p w14:paraId="12A17BE6" w14:textId="7EB828ED"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 xml:space="preserve">43 200 </w:t>
            </w:r>
          </w:p>
        </w:tc>
        <w:tc>
          <w:tcPr>
            <w:tcW w:w="954" w:type="dxa"/>
          </w:tcPr>
          <w:p w14:paraId="3ACF586F" w14:textId="14AE8FD5" w:rsidR="035BFF2E" w:rsidRDefault="035BFF2E" w:rsidP="035BFF2E">
            <w:pPr>
              <w:spacing w:before="0" w:after="0"/>
              <w:jc w:val="righ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Cs w:val="22"/>
              </w:rPr>
            </w:pPr>
            <w:r w:rsidRPr="035BFF2E">
              <w:rPr>
                <w:rFonts w:ascii="Calibri" w:eastAsia="Calibri" w:hAnsi="Calibri" w:cs="Calibri"/>
                <w:color w:val="000000" w:themeColor="text1"/>
                <w:szCs w:val="22"/>
              </w:rPr>
              <w:t>35 163</w:t>
            </w:r>
          </w:p>
        </w:tc>
      </w:tr>
    </w:tbl>
    <w:p w14:paraId="1A096156" w14:textId="45E0345D" w:rsidR="000429FC" w:rsidRPr="00DC6E23" w:rsidRDefault="53527A2F" w:rsidP="00082548">
      <w:pPr>
        <w:spacing w:line="259" w:lineRule="auto"/>
        <w:jc w:val="center"/>
        <w:rPr>
          <w:b/>
          <w:bCs/>
          <w:lang w:val="fr-FR"/>
        </w:rPr>
      </w:pPr>
      <w:r w:rsidRPr="00DC6E23">
        <w:rPr>
          <w:b/>
          <w:bCs/>
          <w:lang w:val="fr-FR"/>
        </w:rPr>
        <w:t xml:space="preserve">Figure 1 : Contribution fiscale totale de </w:t>
      </w:r>
      <w:proofErr w:type="spellStart"/>
      <w:r w:rsidRPr="00DC6E23">
        <w:rPr>
          <w:b/>
          <w:bCs/>
          <w:lang w:val="fr-FR"/>
        </w:rPr>
        <w:t>Simandou</w:t>
      </w:r>
      <w:proofErr w:type="spellEnd"/>
    </w:p>
    <w:p w14:paraId="19702F3F" w14:textId="31CE6287" w:rsidR="00F36950" w:rsidRDefault="2E219800" w:rsidP="035BFF2E">
      <w:pPr>
        <w:spacing w:line="259" w:lineRule="auto"/>
        <w:jc w:val="center"/>
      </w:pPr>
      <w:r>
        <w:rPr>
          <w:noProof/>
        </w:rPr>
        <w:drawing>
          <wp:inline distT="0" distB="0" distL="0" distR="0" wp14:anchorId="684424B8" wp14:editId="4E81DD0D">
            <wp:extent cx="4583980" cy="2540000"/>
            <wp:effectExtent l="0" t="0" r="7620" b="0"/>
            <wp:docPr id="1000065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5033" name="Picture 1000065033"/>
                    <pic:cNvPicPr/>
                  </pic:nvPicPr>
                  <pic:blipFill>
                    <a:blip r:embed="rId47">
                      <a:extLst>
                        <a:ext uri="{28A0092B-C50C-407E-A947-70E740481C1C}">
                          <a14:useLocalDpi xmlns:a14="http://schemas.microsoft.com/office/drawing/2010/main"/>
                        </a:ext>
                      </a:extLst>
                    </a:blip>
                    <a:stretch>
                      <a:fillRect/>
                    </a:stretch>
                  </pic:blipFill>
                  <pic:spPr>
                    <a:xfrm>
                      <a:off x="0" y="0"/>
                      <a:ext cx="4584589" cy="2540337"/>
                    </a:xfrm>
                    <a:prstGeom prst="rect">
                      <a:avLst/>
                    </a:prstGeom>
                  </pic:spPr>
                </pic:pic>
              </a:graphicData>
            </a:graphic>
          </wp:inline>
        </w:drawing>
      </w:r>
    </w:p>
    <w:p w14:paraId="51500156" w14:textId="3534862E" w:rsidR="00105FB2" w:rsidRPr="00DC6E23" w:rsidRDefault="00105FB2" w:rsidP="000E3EF2">
      <w:pPr>
        <w:spacing w:line="259" w:lineRule="auto"/>
        <w:jc w:val="both"/>
        <w:rPr>
          <w:lang w:val="fr-FR"/>
        </w:rPr>
      </w:pPr>
      <w:r w:rsidRPr="00DC6E23">
        <w:rPr>
          <w:lang w:val="fr-FR"/>
        </w:rPr>
        <w:lastRenderedPageBreak/>
        <w:t xml:space="preserve">L’impact de la réduction du taux d’imposition des sociétés, qui prend fin en 2035 pour Rio Tinto </w:t>
      </w:r>
      <w:proofErr w:type="spellStart"/>
      <w:r w:rsidRPr="00DC6E23">
        <w:rPr>
          <w:lang w:val="fr-FR"/>
        </w:rPr>
        <w:t>Simfer</w:t>
      </w:r>
      <w:proofErr w:type="spellEnd"/>
      <w:r w:rsidRPr="00DC6E23">
        <w:rPr>
          <w:lang w:val="fr-FR"/>
        </w:rPr>
        <w:t xml:space="preserve"> et en 2042 pour </w:t>
      </w:r>
      <w:proofErr w:type="spellStart"/>
      <w:r w:rsidRPr="00DC6E23">
        <w:rPr>
          <w:lang w:val="fr-FR"/>
        </w:rPr>
        <w:t>Winning</w:t>
      </w:r>
      <w:proofErr w:type="spellEnd"/>
      <w:r w:rsidRPr="00DC6E23">
        <w:rPr>
          <w:lang w:val="fr-FR"/>
        </w:rPr>
        <w:t xml:space="preserve"> Consortium, est clairement visible, les revenus atteignant un nouveau plafond.</w:t>
      </w:r>
    </w:p>
    <w:p w14:paraId="463E2EAD" w14:textId="1A77F1BE" w:rsidR="00D3451D" w:rsidRPr="00DC6E23" w:rsidRDefault="0D940B63" w:rsidP="00E13F3E">
      <w:pPr>
        <w:spacing w:line="259" w:lineRule="auto"/>
        <w:jc w:val="center"/>
        <w:rPr>
          <w:lang w:val="fr-FR"/>
        </w:rPr>
      </w:pPr>
      <w:r w:rsidRPr="00DC6E23">
        <w:rPr>
          <w:b/>
          <w:bCs/>
          <w:lang w:val="fr-FR"/>
        </w:rPr>
        <w:t xml:space="preserve">Figure 2 : Contribution fiscale totale de </w:t>
      </w:r>
      <w:proofErr w:type="spellStart"/>
      <w:r w:rsidRPr="00DC6E23">
        <w:rPr>
          <w:b/>
          <w:bCs/>
          <w:lang w:val="fr-FR"/>
        </w:rPr>
        <w:t>Simandou</w:t>
      </w:r>
      <w:proofErr w:type="spellEnd"/>
      <w:r w:rsidRPr="00DC6E23">
        <w:rPr>
          <w:b/>
          <w:bCs/>
          <w:lang w:val="fr-FR"/>
        </w:rPr>
        <w:t xml:space="preserve"> par type d'impôt (scénario de base à 80 $/t)</w:t>
      </w:r>
      <w:r w:rsidR="35FE53E1" w:rsidRPr="035BFF2E">
        <w:rPr>
          <w:noProof/>
          <w:lang w:val="fr-FR"/>
        </w:rPr>
        <w:t xml:space="preserve"> </w:t>
      </w:r>
    </w:p>
    <w:p w14:paraId="0184862A" w14:textId="75A9816B" w:rsidR="00F41690" w:rsidRPr="00DC6E23" w:rsidRDefault="058DCC8E" w:rsidP="00B11D89">
      <w:pPr>
        <w:spacing w:line="259" w:lineRule="auto"/>
        <w:jc w:val="center"/>
        <w:rPr>
          <w:lang w:val="fr-FR"/>
        </w:rPr>
      </w:pPr>
      <w:r>
        <w:rPr>
          <w:noProof/>
        </w:rPr>
        <w:drawing>
          <wp:inline distT="0" distB="0" distL="0" distR="0" wp14:anchorId="277D55CB" wp14:editId="66F219F0">
            <wp:extent cx="5762625" cy="2438400"/>
            <wp:effectExtent l="0" t="0" r="0" b="0"/>
            <wp:docPr id="145108763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087632" name="Picture 1451087632"/>
                    <pic:cNvPicPr/>
                  </pic:nvPicPr>
                  <pic:blipFill>
                    <a:blip r:embed="rId48">
                      <a:extLst>
                        <a:ext uri="{28A0092B-C50C-407E-A947-70E740481C1C}">
                          <a14:useLocalDpi xmlns:a14="http://schemas.microsoft.com/office/drawing/2010/main"/>
                        </a:ext>
                      </a:extLst>
                    </a:blip>
                    <a:stretch>
                      <a:fillRect/>
                    </a:stretch>
                  </pic:blipFill>
                  <pic:spPr>
                    <a:xfrm>
                      <a:off x="0" y="0"/>
                      <a:ext cx="5762625" cy="2438400"/>
                    </a:xfrm>
                    <a:prstGeom prst="rect">
                      <a:avLst/>
                    </a:prstGeom>
                  </pic:spPr>
                </pic:pic>
              </a:graphicData>
            </a:graphic>
          </wp:inline>
        </w:drawing>
      </w:r>
      <w:r w:rsidR="5DDEAA05" w:rsidRPr="035BFF2E">
        <w:rPr>
          <w:noProof/>
          <w:lang w:val="fr-FR"/>
        </w:rPr>
        <w:t xml:space="preserve">Le modèle indique qu'avec un prix du minerai de fer de 80 $/tonne, les recettes annuelles projetées de Simandou pour le gouvernement s'élèvent en moyenne à environ </w:t>
      </w:r>
      <w:r w:rsidR="4089A853" w:rsidRPr="035BFF2E">
        <w:rPr>
          <w:noProof/>
          <w:lang w:val="fr-FR"/>
        </w:rPr>
        <w:t>850</w:t>
      </w:r>
      <w:r w:rsidR="5DDEAA05" w:rsidRPr="035BFF2E">
        <w:rPr>
          <w:noProof/>
          <w:lang w:val="fr-FR"/>
        </w:rPr>
        <w:t xml:space="preserve"> milli</w:t>
      </w:r>
      <w:r w:rsidR="7CE2E959" w:rsidRPr="035BFF2E">
        <w:rPr>
          <w:noProof/>
          <w:lang w:val="fr-FR"/>
        </w:rPr>
        <w:t>ons</w:t>
      </w:r>
      <w:r w:rsidR="5DDEAA05" w:rsidRPr="035BFF2E">
        <w:rPr>
          <w:noProof/>
          <w:lang w:val="fr-FR"/>
        </w:rPr>
        <w:t xml:space="preserve"> de dollars entre 2026 et 2034, et à environ 2</w:t>
      </w:r>
      <w:r w:rsidR="0814E7CB" w:rsidRPr="035BFF2E">
        <w:rPr>
          <w:noProof/>
          <w:lang w:val="fr-FR"/>
        </w:rPr>
        <w:t xml:space="preserve"> </w:t>
      </w:r>
      <w:r w:rsidR="5DDEAA05" w:rsidRPr="035BFF2E">
        <w:rPr>
          <w:noProof/>
          <w:lang w:val="fr-FR"/>
        </w:rPr>
        <w:t xml:space="preserve">milliards de dollars à partir de 2035. Une hausse du prix du fer à 100 $/tonne permettrait d'accroître les recettes publiques </w:t>
      </w:r>
      <w:r w:rsidR="10F88AFD" w:rsidRPr="035BFF2E">
        <w:rPr>
          <w:noProof/>
          <w:lang w:val="fr-FR"/>
        </w:rPr>
        <w:t xml:space="preserve">de près </w:t>
      </w:r>
      <w:r w:rsidR="5DDEAA05" w:rsidRPr="035BFF2E">
        <w:rPr>
          <w:noProof/>
          <w:lang w:val="fr-FR"/>
        </w:rPr>
        <w:t>d'un milliard de dollars supplémentaires à partir de 2035.</w:t>
      </w:r>
      <w:r w:rsidR="2D0DD73B" w:rsidRPr="035BFF2E">
        <w:rPr>
          <w:noProof/>
          <w:lang w:val="fr-FR"/>
        </w:rPr>
        <w:t xml:space="preserve"> </w:t>
      </w:r>
    </w:p>
    <w:p w14:paraId="1A6E0F6D" w14:textId="3CA529B2" w:rsidR="2D0DD73B" w:rsidRPr="00DC6E23" w:rsidRDefault="2D0DD73B" w:rsidP="035BFF2E">
      <w:pPr>
        <w:spacing w:line="259" w:lineRule="auto"/>
        <w:jc w:val="both"/>
        <w:rPr>
          <w:lang w:val="fr-FR"/>
        </w:rPr>
      </w:pPr>
      <w:r w:rsidRPr="035BFF2E">
        <w:rPr>
          <w:noProof/>
          <w:lang w:val="fr-FR"/>
        </w:rPr>
        <w:t>L’impôt sur les sociétés à un taux réduit</w:t>
      </w:r>
      <w:r w:rsidR="4B3E726A" w:rsidRPr="035BFF2E">
        <w:rPr>
          <w:noProof/>
          <w:lang w:val="fr-FR"/>
        </w:rPr>
        <w:t xml:space="preserve"> de 15%</w:t>
      </w:r>
      <w:r w:rsidRPr="035BFF2E">
        <w:rPr>
          <w:noProof/>
          <w:lang w:val="fr-FR"/>
        </w:rPr>
        <w:t xml:space="preserve"> jusqu’en 2034</w:t>
      </w:r>
      <w:r w:rsidR="6096246F" w:rsidRPr="035BFF2E">
        <w:rPr>
          <w:noProof/>
          <w:lang w:val="fr-FR"/>
        </w:rPr>
        <w:t xml:space="preserve"> pour Rio Tinto Simfer et </w:t>
      </w:r>
      <w:r w:rsidR="31A5D026" w:rsidRPr="035BFF2E">
        <w:rPr>
          <w:noProof/>
          <w:lang w:val="fr-FR"/>
        </w:rPr>
        <w:t>exonéré jusqu’en 2037 pour WCS, est rétabli au taux plein de 30</w:t>
      </w:r>
      <w:r w:rsidR="4E957012" w:rsidRPr="035BFF2E">
        <w:rPr>
          <w:noProof/>
          <w:lang w:val="fr-FR"/>
        </w:rPr>
        <w:t>% au-delà de ces périodes respectives, créant ainsi des paliers qui montrent l’augmentation des recettes pour l’Etat (cf. Figu</w:t>
      </w:r>
      <w:r w:rsidR="4FAE97E9" w:rsidRPr="035BFF2E">
        <w:rPr>
          <w:noProof/>
          <w:lang w:val="fr-FR"/>
        </w:rPr>
        <w:t>re 2).</w:t>
      </w:r>
    </w:p>
    <w:p w14:paraId="057CB4F0" w14:textId="2D5B7FC8" w:rsidR="00D51B60" w:rsidRPr="00DC6E23" w:rsidRDefault="08992B47" w:rsidP="00E13F3E">
      <w:pPr>
        <w:spacing w:line="259" w:lineRule="auto"/>
        <w:jc w:val="center"/>
        <w:rPr>
          <w:lang w:val="fr-FR"/>
        </w:rPr>
      </w:pPr>
      <w:r w:rsidRPr="00DC6E23">
        <w:rPr>
          <w:b/>
          <w:bCs/>
          <w:sz w:val="20"/>
          <w:szCs w:val="20"/>
          <w:lang w:val="fr-FR"/>
        </w:rPr>
        <w:t xml:space="preserve">Figure 3 : Contribution fiscale annuelle de </w:t>
      </w:r>
      <w:proofErr w:type="spellStart"/>
      <w:r w:rsidRPr="00DC6E23">
        <w:rPr>
          <w:b/>
          <w:bCs/>
          <w:sz w:val="20"/>
          <w:szCs w:val="20"/>
          <w:lang w:val="fr-FR"/>
        </w:rPr>
        <w:t>Simandou</w:t>
      </w:r>
      <w:proofErr w:type="spellEnd"/>
      <w:r w:rsidRPr="00DC6E23">
        <w:rPr>
          <w:b/>
          <w:bCs/>
          <w:sz w:val="20"/>
          <w:szCs w:val="20"/>
          <w:lang w:val="fr-FR"/>
        </w:rPr>
        <w:t xml:space="preserve"> par entreprise et type d'impôt (scénario à 80 $/t)</w:t>
      </w:r>
    </w:p>
    <w:p w14:paraId="2014D57D" w14:textId="5C71EF95" w:rsidR="00A2204D" w:rsidRDefault="794730C5" w:rsidP="035BFF2E">
      <w:pPr>
        <w:spacing w:line="259" w:lineRule="auto"/>
        <w:jc w:val="center"/>
      </w:pPr>
      <w:r>
        <w:rPr>
          <w:noProof/>
        </w:rPr>
        <w:drawing>
          <wp:inline distT="0" distB="0" distL="0" distR="0" wp14:anchorId="027453D7" wp14:editId="53AC5D17">
            <wp:extent cx="5762625" cy="2971800"/>
            <wp:effectExtent l="0" t="0" r="0" b="0"/>
            <wp:docPr id="1586781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81422" name="Picture 1586781422"/>
                    <pic:cNvPicPr/>
                  </pic:nvPicPr>
                  <pic:blipFill>
                    <a:blip r:embed="rId49">
                      <a:extLst>
                        <a:ext uri="{28A0092B-C50C-407E-A947-70E740481C1C}">
                          <a14:useLocalDpi xmlns:a14="http://schemas.microsoft.com/office/drawing/2010/main"/>
                        </a:ext>
                      </a:extLst>
                    </a:blip>
                    <a:stretch>
                      <a:fillRect/>
                    </a:stretch>
                  </pic:blipFill>
                  <pic:spPr>
                    <a:xfrm>
                      <a:off x="0" y="0"/>
                      <a:ext cx="5762625" cy="2971800"/>
                    </a:xfrm>
                    <a:prstGeom prst="rect">
                      <a:avLst/>
                    </a:prstGeom>
                  </pic:spPr>
                </pic:pic>
              </a:graphicData>
            </a:graphic>
          </wp:inline>
        </w:drawing>
      </w:r>
    </w:p>
    <w:p w14:paraId="4D3E780B" w14:textId="77777777" w:rsidR="008D179A" w:rsidRDefault="008D179A" w:rsidP="00730BD6">
      <w:pPr>
        <w:pStyle w:val="Paragraphedeliste"/>
        <w:spacing w:line="259" w:lineRule="auto"/>
        <w:rPr>
          <w:b/>
          <w:bCs/>
          <w:lang w:val="fr-FR"/>
        </w:rPr>
      </w:pPr>
    </w:p>
    <w:p w14:paraId="240EC936" w14:textId="3D75D394" w:rsidR="004A3661" w:rsidRPr="00DC6E23" w:rsidRDefault="3EBCC8D2" w:rsidP="00730BD6">
      <w:pPr>
        <w:pStyle w:val="Paragraphedeliste"/>
        <w:spacing w:line="259" w:lineRule="auto"/>
        <w:rPr>
          <w:b/>
          <w:bCs/>
          <w:lang w:val="fr-FR"/>
        </w:rPr>
      </w:pPr>
      <w:r w:rsidRPr="00DC6E23">
        <w:rPr>
          <w:b/>
          <w:bCs/>
          <w:lang w:val="fr-FR"/>
        </w:rPr>
        <w:lastRenderedPageBreak/>
        <w:t xml:space="preserve">Tableau </w:t>
      </w:r>
      <w:r w:rsidR="005F6609">
        <w:rPr>
          <w:b/>
          <w:bCs/>
          <w:lang w:val="fr-FR"/>
        </w:rPr>
        <w:t>5</w:t>
      </w:r>
      <w:r w:rsidRPr="00DC6E23">
        <w:rPr>
          <w:b/>
          <w:bCs/>
          <w:lang w:val="fr-FR"/>
        </w:rPr>
        <w:t xml:space="preserve"> : Résumé des recettes totales du gouvernement par entreprise et type d'impôt (voir la feuille de résultats de </w:t>
      </w:r>
      <w:proofErr w:type="spellStart"/>
      <w:r w:rsidRPr="00DC6E23">
        <w:rPr>
          <w:b/>
          <w:bCs/>
          <w:lang w:val="fr-FR"/>
        </w:rPr>
        <w:t>Simandou</w:t>
      </w:r>
      <w:proofErr w:type="spellEnd"/>
      <w:r w:rsidRPr="00DC6E23">
        <w:rPr>
          <w:b/>
          <w:bCs/>
          <w:lang w:val="fr-FR"/>
        </w:rPr>
        <w:t xml:space="preserve"> dans le modèle)</w:t>
      </w:r>
    </w:p>
    <w:p w14:paraId="1CEDD55A" w14:textId="679C3558" w:rsidR="00C048C1" w:rsidRPr="00DC6E23" w:rsidRDefault="3CEFCBAB" w:rsidP="035BFF2E">
      <w:pPr>
        <w:spacing w:line="259" w:lineRule="auto"/>
        <w:rPr>
          <w:lang w:val="fr-FR"/>
        </w:rPr>
      </w:pPr>
      <w:r>
        <w:rPr>
          <w:noProof/>
        </w:rPr>
        <w:drawing>
          <wp:inline distT="0" distB="0" distL="0" distR="0" wp14:anchorId="1477CF67" wp14:editId="2DF39366">
            <wp:extent cx="5762625" cy="866775"/>
            <wp:effectExtent l="0" t="0" r="0" b="0"/>
            <wp:docPr id="31327139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71398" name="Picture 313271398"/>
                    <pic:cNvPicPr/>
                  </pic:nvPicPr>
                  <pic:blipFill>
                    <a:blip r:embed="rId50">
                      <a:extLst>
                        <a:ext uri="{28A0092B-C50C-407E-A947-70E740481C1C}">
                          <a14:useLocalDpi xmlns:a14="http://schemas.microsoft.com/office/drawing/2010/main"/>
                        </a:ext>
                      </a:extLst>
                    </a:blip>
                    <a:stretch>
                      <a:fillRect/>
                    </a:stretch>
                  </pic:blipFill>
                  <pic:spPr>
                    <a:xfrm>
                      <a:off x="0" y="0"/>
                      <a:ext cx="5762625" cy="866775"/>
                    </a:xfrm>
                    <a:prstGeom prst="rect">
                      <a:avLst/>
                    </a:prstGeom>
                  </pic:spPr>
                </pic:pic>
              </a:graphicData>
            </a:graphic>
          </wp:inline>
        </w:drawing>
      </w:r>
      <w:r w:rsidR="709D17A9" w:rsidRPr="00DC6E23">
        <w:rPr>
          <w:lang w:val="fr-FR"/>
        </w:rPr>
        <w:t xml:space="preserve">Rio Tinto </w:t>
      </w:r>
      <w:proofErr w:type="spellStart"/>
      <w:r w:rsidR="709D17A9" w:rsidRPr="00DC6E23">
        <w:rPr>
          <w:lang w:val="fr-FR"/>
        </w:rPr>
        <w:t>Simfer</w:t>
      </w:r>
      <w:proofErr w:type="spellEnd"/>
      <w:r w:rsidR="709D17A9" w:rsidRPr="00DC6E23">
        <w:rPr>
          <w:lang w:val="fr-FR"/>
        </w:rPr>
        <w:t xml:space="preserve"> et WCS contribueront de manière similaire aux recettes publiques, malgré la période d'exonération fiscale plus longue accordée à WCS. L'absence de contribution de WCS à l'impôt sur les sociétés durant les premières années du projet minier pourrait être compensée par son taux de redevance plus élevé.</w:t>
      </w:r>
    </w:p>
    <w:p w14:paraId="26098248" w14:textId="7731731E" w:rsidR="00A2204D" w:rsidRPr="00DC6E23" w:rsidRDefault="263A2524" w:rsidP="035BFF2E">
      <w:pPr>
        <w:spacing w:line="259" w:lineRule="auto"/>
        <w:jc w:val="center"/>
        <w:rPr>
          <w:lang w:val="fr-FR"/>
        </w:rPr>
      </w:pPr>
      <w:r w:rsidRPr="00DC6E23">
        <w:rPr>
          <w:b/>
          <w:bCs/>
          <w:sz w:val="20"/>
          <w:szCs w:val="20"/>
          <w:lang w:val="fr-FR"/>
        </w:rPr>
        <w:t xml:space="preserve">Figure 4 : </w:t>
      </w:r>
      <w:r w:rsidR="1840D5D9" w:rsidRPr="00DC6E23">
        <w:rPr>
          <w:b/>
          <w:bCs/>
          <w:sz w:val="20"/>
          <w:szCs w:val="20"/>
          <w:lang w:val="fr-FR"/>
        </w:rPr>
        <w:t>Répartition des coûts et des recettes en valeur nominale</w:t>
      </w:r>
      <w:r w:rsidRPr="00DC6E23">
        <w:rPr>
          <w:b/>
          <w:bCs/>
          <w:sz w:val="20"/>
          <w:szCs w:val="20"/>
          <w:lang w:val="fr-FR"/>
        </w:rPr>
        <w:t xml:space="preserve"> (scénario de base à 80 $/t)</w:t>
      </w:r>
    </w:p>
    <w:p w14:paraId="7779CCED" w14:textId="03A393BB" w:rsidR="00A2204D" w:rsidRDefault="263A2524" w:rsidP="035BFF2E">
      <w:pPr>
        <w:spacing w:line="259" w:lineRule="auto"/>
        <w:jc w:val="both"/>
      </w:pPr>
      <w:r>
        <w:rPr>
          <w:noProof/>
        </w:rPr>
        <w:drawing>
          <wp:inline distT="0" distB="0" distL="0" distR="0" wp14:anchorId="328D7864" wp14:editId="6393514F">
            <wp:extent cx="6353175" cy="2419350"/>
            <wp:effectExtent l="0" t="0" r="0" b="0"/>
            <wp:docPr id="13108386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838646" name="Picture 1310838646"/>
                    <pic:cNvPicPr/>
                  </pic:nvPicPr>
                  <pic:blipFill>
                    <a:blip r:embed="rId51">
                      <a:extLst>
                        <a:ext uri="{28A0092B-C50C-407E-A947-70E740481C1C}">
                          <a14:useLocalDpi xmlns:a14="http://schemas.microsoft.com/office/drawing/2010/main"/>
                        </a:ext>
                      </a:extLst>
                    </a:blip>
                    <a:stretch>
                      <a:fillRect/>
                    </a:stretch>
                  </pic:blipFill>
                  <pic:spPr>
                    <a:xfrm>
                      <a:off x="0" y="0"/>
                      <a:ext cx="6353175" cy="2419350"/>
                    </a:xfrm>
                    <a:prstGeom prst="rect">
                      <a:avLst/>
                    </a:prstGeom>
                  </pic:spPr>
                </pic:pic>
              </a:graphicData>
            </a:graphic>
          </wp:inline>
        </w:drawing>
      </w:r>
    </w:p>
    <w:p w14:paraId="1744CFC1" w14:textId="1B326B65" w:rsidR="25EBE585" w:rsidRPr="00DC6E23" w:rsidRDefault="25EBE585" w:rsidP="035BFF2E">
      <w:pPr>
        <w:spacing w:line="259" w:lineRule="auto"/>
        <w:jc w:val="both"/>
        <w:rPr>
          <w:lang w:val="fr-FR"/>
        </w:rPr>
      </w:pPr>
      <w:r w:rsidRPr="035BFF2E">
        <w:rPr>
          <w:lang w:val="fr-FR"/>
        </w:rPr>
        <w:t xml:space="preserve">Le graphique (cf. Figure 4) montre que les entreprises (CTG, </w:t>
      </w:r>
      <w:proofErr w:type="spellStart"/>
      <w:r w:rsidRPr="035BFF2E">
        <w:rPr>
          <w:lang w:val="fr-FR"/>
        </w:rPr>
        <w:t>Simfer</w:t>
      </w:r>
      <w:proofErr w:type="spellEnd"/>
      <w:r w:rsidRPr="035BFF2E">
        <w:rPr>
          <w:lang w:val="fr-FR"/>
        </w:rPr>
        <w:t xml:space="preserve"> et WCS) supportent l’essentiel des coûts du projet </w:t>
      </w:r>
      <w:proofErr w:type="spellStart"/>
      <w:r w:rsidRPr="035BFF2E">
        <w:rPr>
          <w:lang w:val="fr-FR"/>
        </w:rPr>
        <w:t>Simandou</w:t>
      </w:r>
      <w:proofErr w:type="spellEnd"/>
      <w:r w:rsidRPr="035BFF2E">
        <w:rPr>
          <w:lang w:val="fr-FR"/>
        </w:rPr>
        <w:t>, en particulier durant la période 2026–2034. Ces coûts sont dominés par les investissements initiaux (CAPEX) liés au développement de la mine, du chemin de fer et du port, ainsi que par des coûts d’exploitation (OPEX) importants et récurrents. Durant cette phase, les flux de trésorerie nets des entreprises restent limités, reflétant un projet très capitalistique avec une rentabilité différée, classique pour les grands projets miniers intégrés.</w:t>
      </w:r>
    </w:p>
    <w:p w14:paraId="06A92663" w14:textId="2F0947EB" w:rsidR="25EBE585" w:rsidRPr="00DC6E23" w:rsidRDefault="25EBE585" w:rsidP="035BFF2E">
      <w:pPr>
        <w:spacing w:line="259" w:lineRule="auto"/>
        <w:jc w:val="both"/>
        <w:rPr>
          <w:lang w:val="fr-FR"/>
        </w:rPr>
      </w:pPr>
      <w:r w:rsidRPr="00DC6E23">
        <w:rPr>
          <w:lang w:val="fr-FR"/>
        </w:rPr>
        <w:t>Pour l’État guinéen, les recettes sont plus modestes au démarrage mais augmentent fortement à long terme, notamment à partir de 2035+. Elles proviennent principalement de l’impôt sur les sociétés, des taxes minières et des dividendes liés à la participation de l’État dans les entités du projet. Cette dynamique traduit un partage progressif de la rente minière : l’État accepte une montée en puissance graduelle des recettes publiques afin de préserver la viabilité économique du projet, tout en sécurisant à terme des revenus durables pour le financement du développement.</w:t>
      </w:r>
    </w:p>
    <w:p w14:paraId="55216DFC" w14:textId="2F8DFAF6" w:rsidR="764B2CB6" w:rsidRPr="00DC6E23" w:rsidRDefault="764B2CB6" w:rsidP="035BFF2E">
      <w:pPr>
        <w:spacing w:line="259" w:lineRule="auto"/>
        <w:jc w:val="both"/>
        <w:rPr>
          <w:b/>
          <w:bCs/>
          <w:lang w:val="fr-FR"/>
        </w:rPr>
      </w:pPr>
      <w:r w:rsidRPr="00DC6E23">
        <w:rPr>
          <w:b/>
          <w:bCs/>
          <w:lang w:val="fr-FR"/>
        </w:rPr>
        <w:t>Analyse de sensibilité</w:t>
      </w:r>
    </w:p>
    <w:p w14:paraId="197792C1" w14:textId="2D1D698D" w:rsidR="764B2CB6" w:rsidRPr="00DC6E23" w:rsidRDefault="764B2CB6" w:rsidP="035BFF2E">
      <w:pPr>
        <w:spacing w:line="259" w:lineRule="auto"/>
        <w:jc w:val="both"/>
        <w:rPr>
          <w:lang w:val="fr-FR"/>
        </w:rPr>
      </w:pPr>
      <w:r w:rsidRPr="035BFF2E">
        <w:rPr>
          <w:lang w:val="fr-FR"/>
        </w:rPr>
        <w:t xml:space="preserve">Les résultats montrent que, sous une hypothèse de prix du minerai de fer de </w:t>
      </w:r>
      <w:r w:rsidR="7086B45F" w:rsidRPr="035BFF2E">
        <w:rPr>
          <w:lang w:val="fr-FR"/>
        </w:rPr>
        <w:t>7</w:t>
      </w:r>
      <w:r w:rsidRPr="035BFF2E">
        <w:rPr>
          <w:lang w:val="fr-FR"/>
        </w:rPr>
        <w:t xml:space="preserve">0 USD réels par tonne sèche, les projets miniers de </w:t>
      </w:r>
      <w:proofErr w:type="spellStart"/>
      <w:r w:rsidRPr="035BFF2E">
        <w:rPr>
          <w:lang w:val="fr-FR"/>
        </w:rPr>
        <w:t>Simfer</w:t>
      </w:r>
      <w:proofErr w:type="spellEnd"/>
      <w:r w:rsidRPr="035BFF2E">
        <w:rPr>
          <w:lang w:val="fr-FR"/>
        </w:rPr>
        <w:t xml:space="preserve"> et de WCS atteignent un taux de rentabilité interne (TRI) de </w:t>
      </w:r>
      <w:r w:rsidR="39F69BF3" w:rsidRPr="035BFF2E">
        <w:rPr>
          <w:lang w:val="fr-FR"/>
        </w:rPr>
        <w:t>20</w:t>
      </w:r>
      <w:r w:rsidRPr="035BFF2E">
        <w:rPr>
          <w:lang w:val="fr-FR"/>
        </w:rPr>
        <w:t xml:space="preserve"> %, tandis que les infrastructures CTG affichent un TRI plus modéré de 1</w:t>
      </w:r>
      <w:r w:rsidR="5FCB1BA0" w:rsidRPr="035BFF2E">
        <w:rPr>
          <w:lang w:val="fr-FR"/>
        </w:rPr>
        <w:t>2</w:t>
      </w:r>
      <w:r w:rsidRPr="035BFF2E">
        <w:rPr>
          <w:lang w:val="fr-FR"/>
        </w:rPr>
        <w:t xml:space="preserve"> %, reflétant leur profil d’investissement plus régulé et capitalistique. Les prix d’équilibre relativement proches (65 USD/DMT pour les mines et 61 USD/DMT pour les infrastructures) indiquent que les projets restent viables dans une fourchette de prix prudente, tout en laissant une marge économique suffisante </w:t>
      </w:r>
      <w:r w:rsidRPr="035BFF2E">
        <w:rPr>
          <w:lang w:val="fr-FR"/>
        </w:rPr>
        <w:lastRenderedPageBreak/>
        <w:t xml:space="preserve">pour absorber les risques opérationnels et de marché. </w:t>
      </w:r>
      <w:r w:rsidR="4A5317D7" w:rsidRPr="035BFF2E">
        <w:rPr>
          <w:lang w:val="fr-FR"/>
        </w:rPr>
        <w:t>Du point de vue de l’État, les taux effectifs moyens d’imposition (AETR) sont élevés pour les mines (environ 5</w:t>
      </w:r>
      <w:r w:rsidR="673E3574" w:rsidRPr="035BFF2E">
        <w:rPr>
          <w:lang w:val="fr-FR"/>
        </w:rPr>
        <w:t>4</w:t>
      </w:r>
      <w:r w:rsidR="4A5317D7" w:rsidRPr="035BFF2E">
        <w:rPr>
          <w:lang w:val="fr-FR"/>
        </w:rPr>
        <w:t xml:space="preserve"> % sur l’ensemble du cycle de vie), traduisant une capture substantielle de la rente minière par le Trésor public.</w:t>
      </w:r>
    </w:p>
    <w:p w14:paraId="360625B9" w14:textId="558D3DD7" w:rsidR="65F1C19D" w:rsidRPr="00DC6E23" w:rsidRDefault="65F1C19D" w:rsidP="035BFF2E">
      <w:pPr>
        <w:spacing w:line="259" w:lineRule="auto"/>
        <w:jc w:val="center"/>
        <w:rPr>
          <w:b/>
          <w:bCs/>
          <w:lang w:val="fr-FR"/>
        </w:rPr>
      </w:pPr>
      <w:r w:rsidRPr="00DC6E23">
        <w:rPr>
          <w:b/>
          <w:bCs/>
          <w:lang w:val="fr-FR"/>
        </w:rPr>
        <w:t xml:space="preserve">Tableau </w:t>
      </w:r>
      <w:r w:rsidR="005F6609">
        <w:rPr>
          <w:b/>
          <w:bCs/>
          <w:lang w:val="fr-FR"/>
        </w:rPr>
        <w:t>6</w:t>
      </w:r>
      <w:r w:rsidRPr="00DC6E23">
        <w:rPr>
          <w:b/>
          <w:bCs/>
          <w:lang w:val="fr-FR"/>
        </w:rPr>
        <w:t xml:space="preserve"> : Résumé des résultats de l’analyse de sensibilité</w:t>
      </w:r>
    </w:p>
    <w:p w14:paraId="009A696D" w14:textId="3C88FD36" w:rsidR="39A703E6" w:rsidRDefault="39A703E6" w:rsidP="035BFF2E">
      <w:pPr>
        <w:spacing w:line="259" w:lineRule="auto"/>
        <w:jc w:val="both"/>
      </w:pPr>
      <w:r>
        <w:rPr>
          <w:noProof/>
        </w:rPr>
        <w:drawing>
          <wp:inline distT="0" distB="0" distL="0" distR="0" wp14:anchorId="0405DB17" wp14:editId="4014B021">
            <wp:extent cx="5762625" cy="1304925"/>
            <wp:effectExtent l="0" t="0" r="0" b="0"/>
            <wp:docPr id="18466493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49323" name="Picture 1846649323"/>
                    <pic:cNvPicPr/>
                  </pic:nvPicPr>
                  <pic:blipFill>
                    <a:blip r:embed="rId52">
                      <a:extLst>
                        <a:ext uri="{28A0092B-C50C-407E-A947-70E740481C1C}">
                          <a14:useLocalDpi xmlns:a14="http://schemas.microsoft.com/office/drawing/2010/main"/>
                        </a:ext>
                      </a:extLst>
                    </a:blip>
                    <a:stretch>
                      <a:fillRect/>
                    </a:stretch>
                  </pic:blipFill>
                  <pic:spPr>
                    <a:xfrm>
                      <a:off x="0" y="0"/>
                      <a:ext cx="5762625" cy="1304925"/>
                    </a:xfrm>
                    <a:prstGeom prst="rect">
                      <a:avLst/>
                    </a:prstGeom>
                  </pic:spPr>
                </pic:pic>
              </a:graphicData>
            </a:graphic>
          </wp:inline>
        </w:drawing>
      </w:r>
    </w:p>
    <w:p w14:paraId="3720233B" w14:textId="5FDB4859" w:rsidR="035BFF2E" w:rsidRDefault="035BFF2E" w:rsidP="035BFF2E">
      <w:pPr>
        <w:spacing w:line="259" w:lineRule="auto"/>
        <w:jc w:val="both"/>
        <w:rPr>
          <w:lang w:val="nb-NO"/>
        </w:rPr>
      </w:pPr>
    </w:p>
    <w:p w14:paraId="09D0300F" w14:textId="77777777" w:rsidR="00A2204D" w:rsidRDefault="00A2204D" w:rsidP="00CC15AA">
      <w:pPr>
        <w:spacing w:line="259" w:lineRule="auto"/>
        <w:jc w:val="both"/>
        <w:rPr>
          <w:lang w:val="nb-NO"/>
        </w:rPr>
      </w:pPr>
    </w:p>
    <w:p w14:paraId="7E65BD29" w14:textId="6759A674" w:rsidR="035BFF2E" w:rsidRDefault="035BFF2E" w:rsidP="035BFF2E">
      <w:pPr>
        <w:spacing w:line="259" w:lineRule="auto"/>
        <w:jc w:val="both"/>
        <w:rPr>
          <w:lang w:val="nb-NO"/>
        </w:rPr>
      </w:pPr>
    </w:p>
    <w:p w14:paraId="143E1E42" w14:textId="2153E9E4" w:rsidR="035BFF2E" w:rsidRDefault="035BFF2E" w:rsidP="035BFF2E">
      <w:pPr>
        <w:spacing w:line="259" w:lineRule="auto"/>
        <w:jc w:val="both"/>
        <w:rPr>
          <w:lang w:val="nb-NO"/>
        </w:rPr>
      </w:pPr>
    </w:p>
    <w:p w14:paraId="0582C174" w14:textId="77777777" w:rsidR="00DC6E23" w:rsidRDefault="00DC6E23" w:rsidP="035BFF2E">
      <w:pPr>
        <w:spacing w:line="259" w:lineRule="auto"/>
        <w:jc w:val="both"/>
        <w:rPr>
          <w:lang w:val="nb-NO"/>
        </w:rPr>
      </w:pPr>
    </w:p>
    <w:p w14:paraId="49229461" w14:textId="77777777" w:rsidR="00DC6E23" w:rsidRDefault="00DC6E23" w:rsidP="035BFF2E">
      <w:pPr>
        <w:spacing w:line="259" w:lineRule="auto"/>
        <w:jc w:val="both"/>
        <w:rPr>
          <w:lang w:val="nb-NO"/>
        </w:rPr>
      </w:pPr>
    </w:p>
    <w:p w14:paraId="7C22A7E3" w14:textId="77777777" w:rsidR="00DC6E23" w:rsidRDefault="00DC6E23" w:rsidP="035BFF2E">
      <w:pPr>
        <w:spacing w:line="259" w:lineRule="auto"/>
        <w:jc w:val="both"/>
        <w:rPr>
          <w:lang w:val="nb-NO"/>
        </w:rPr>
      </w:pPr>
    </w:p>
    <w:p w14:paraId="6176AF5B" w14:textId="77777777" w:rsidR="008D179A" w:rsidRDefault="008D179A" w:rsidP="035BFF2E">
      <w:pPr>
        <w:spacing w:line="259" w:lineRule="auto"/>
        <w:jc w:val="both"/>
        <w:rPr>
          <w:lang w:val="nb-NO"/>
        </w:rPr>
      </w:pPr>
    </w:p>
    <w:p w14:paraId="18F4B817" w14:textId="77777777" w:rsidR="008D179A" w:rsidRDefault="008D179A" w:rsidP="035BFF2E">
      <w:pPr>
        <w:spacing w:line="259" w:lineRule="auto"/>
        <w:jc w:val="both"/>
        <w:rPr>
          <w:lang w:val="nb-NO"/>
        </w:rPr>
      </w:pPr>
    </w:p>
    <w:p w14:paraId="69DC3731" w14:textId="77777777" w:rsidR="008D179A" w:rsidRDefault="008D179A" w:rsidP="035BFF2E">
      <w:pPr>
        <w:spacing w:line="259" w:lineRule="auto"/>
        <w:jc w:val="both"/>
        <w:rPr>
          <w:lang w:val="nb-NO"/>
        </w:rPr>
      </w:pPr>
    </w:p>
    <w:p w14:paraId="02B77027" w14:textId="77777777" w:rsidR="008D179A" w:rsidRDefault="008D179A" w:rsidP="035BFF2E">
      <w:pPr>
        <w:spacing w:line="259" w:lineRule="auto"/>
        <w:jc w:val="both"/>
        <w:rPr>
          <w:lang w:val="nb-NO"/>
        </w:rPr>
      </w:pPr>
    </w:p>
    <w:p w14:paraId="23C0F30F" w14:textId="77777777" w:rsidR="008D179A" w:rsidRDefault="008D179A" w:rsidP="035BFF2E">
      <w:pPr>
        <w:spacing w:line="259" w:lineRule="auto"/>
        <w:jc w:val="both"/>
        <w:rPr>
          <w:lang w:val="nb-NO"/>
        </w:rPr>
      </w:pPr>
    </w:p>
    <w:p w14:paraId="4ED6CEFB" w14:textId="77777777" w:rsidR="008D179A" w:rsidRDefault="008D179A" w:rsidP="035BFF2E">
      <w:pPr>
        <w:spacing w:line="259" w:lineRule="auto"/>
        <w:jc w:val="both"/>
        <w:rPr>
          <w:lang w:val="nb-NO"/>
        </w:rPr>
      </w:pPr>
    </w:p>
    <w:p w14:paraId="0B86F860" w14:textId="77777777" w:rsidR="008D179A" w:rsidRDefault="008D179A" w:rsidP="035BFF2E">
      <w:pPr>
        <w:spacing w:line="259" w:lineRule="auto"/>
        <w:jc w:val="both"/>
        <w:rPr>
          <w:lang w:val="nb-NO"/>
        </w:rPr>
      </w:pPr>
    </w:p>
    <w:p w14:paraId="1DADDC7B" w14:textId="77777777" w:rsidR="008D179A" w:rsidRDefault="008D179A" w:rsidP="035BFF2E">
      <w:pPr>
        <w:spacing w:line="259" w:lineRule="auto"/>
        <w:jc w:val="both"/>
        <w:rPr>
          <w:lang w:val="nb-NO"/>
        </w:rPr>
      </w:pPr>
    </w:p>
    <w:p w14:paraId="3C417C8B" w14:textId="77777777" w:rsidR="008D179A" w:rsidRDefault="008D179A" w:rsidP="035BFF2E">
      <w:pPr>
        <w:spacing w:line="259" w:lineRule="auto"/>
        <w:jc w:val="both"/>
        <w:rPr>
          <w:lang w:val="nb-NO"/>
        </w:rPr>
      </w:pPr>
    </w:p>
    <w:p w14:paraId="5868DD61" w14:textId="77777777" w:rsidR="008D179A" w:rsidRDefault="008D179A" w:rsidP="035BFF2E">
      <w:pPr>
        <w:spacing w:line="259" w:lineRule="auto"/>
        <w:jc w:val="both"/>
        <w:rPr>
          <w:lang w:val="nb-NO"/>
        </w:rPr>
      </w:pPr>
    </w:p>
    <w:p w14:paraId="707CB1DE" w14:textId="77777777" w:rsidR="008D179A" w:rsidRDefault="008D179A" w:rsidP="035BFF2E">
      <w:pPr>
        <w:spacing w:line="259" w:lineRule="auto"/>
        <w:jc w:val="both"/>
        <w:rPr>
          <w:lang w:val="nb-NO"/>
        </w:rPr>
      </w:pPr>
    </w:p>
    <w:p w14:paraId="47E7B95E" w14:textId="77777777" w:rsidR="008D179A" w:rsidRDefault="008D179A" w:rsidP="035BFF2E">
      <w:pPr>
        <w:spacing w:line="259" w:lineRule="auto"/>
        <w:jc w:val="both"/>
        <w:rPr>
          <w:lang w:val="nb-NO"/>
        </w:rPr>
      </w:pPr>
    </w:p>
    <w:p w14:paraId="2BD2C411" w14:textId="3E971516" w:rsidR="00A2204D" w:rsidRPr="00A2204D" w:rsidRDefault="42941A5F" w:rsidP="00A2204D">
      <w:pPr>
        <w:pStyle w:val="Titre2"/>
        <w:rPr>
          <w:lang w:val="nb-NO"/>
        </w:rPr>
      </w:pPr>
      <w:bookmarkStart w:id="7" w:name="_Toc203392799"/>
      <w:r>
        <w:lastRenderedPageBreak/>
        <w:t xml:space="preserve">Recommandations </w:t>
      </w:r>
      <w:bookmarkEnd w:id="7"/>
    </w:p>
    <w:p w14:paraId="4FB87A65" w14:textId="77777777" w:rsidR="00A2204D" w:rsidRPr="00DC6E23" w:rsidRDefault="00A2204D" w:rsidP="00A2204D">
      <w:pPr>
        <w:spacing w:line="259" w:lineRule="auto"/>
        <w:jc w:val="both"/>
        <w:rPr>
          <w:lang w:val="fr-FR"/>
        </w:rPr>
      </w:pPr>
      <w:r w:rsidRPr="00DC6E23">
        <w:rPr>
          <w:lang w:val="fr-FR"/>
        </w:rPr>
        <w:t>Le projet de modélisation financière vise à gérer les attentes de la population concernant les avantages, qui dépendent de plusieurs facteurs, notamment la montée en puissance de la production, le prix du fer et l'inflation.</w:t>
      </w:r>
    </w:p>
    <w:p w14:paraId="733C53B3" w14:textId="46D42977" w:rsidR="00A2204D" w:rsidRPr="00DC6E23" w:rsidRDefault="009932F3" w:rsidP="00A2204D">
      <w:pPr>
        <w:spacing w:line="259" w:lineRule="auto"/>
        <w:jc w:val="both"/>
        <w:rPr>
          <w:lang w:val="fr-FR"/>
        </w:rPr>
      </w:pPr>
      <w:hyperlink r:id="rId53" w:anchor="1" w:history="1">
        <w:r w:rsidR="00A2204D" w:rsidRPr="00DC6E23">
          <w:rPr>
            <w:rStyle w:val="Lienhypertexte"/>
            <w:lang w:val="fr-FR"/>
          </w:rPr>
          <w:t>Selon la Banque mondiale</w:t>
        </w:r>
      </w:hyperlink>
      <w:r w:rsidR="00A463A2">
        <w:rPr>
          <w:rStyle w:val="Lienhypertexte"/>
          <w:lang w:val="fr-FR"/>
        </w:rPr>
        <w:t xml:space="preserve"> </w:t>
      </w:r>
      <w:r w:rsidR="00A463A2">
        <w:rPr>
          <w:lang w:val="fr-FR"/>
        </w:rPr>
        <w:t>l’</w:t>
      </w:r>
      <w:r w:rsidR="00A2204D" w:rsidRPr="00DC6E23">
        <w:rPr>
          <w:lang w:val="fr-FR"/>
        </w:rPr>
        <w:t>économie guinéenne a progressé de 5,7 % en 2024 (3,1 % par habitant), contre 5,5 % en 2023, malgré l'explosion d'un dépôt de carburant en décembre 2023, principalement grâce aux investissements.</w:t>
      </w:r>
    </w:p>
    <w:p w14:paraId="6C63E027" w14:textId="77777777" w:rsidR="00A2204D" w:rsidRPr="00DC6E23" w:rsidRDefault="00A2204D" w:rsidP="00A2204D">
      <w:pPr>
        <w:spacing w:line="259" w:lineRule="auto"/>
        <w:jc w:val="both"/>
        <w:rPr>
          <w:lang w:val="fr-FR"/>
        </w:rPr>
      </w:pPr>
      <w:r w:rsidRPr="00DC6E23">
        <w:rPr>
          <w:lang w:val="fr-FR"/>
        </w:rPr>
        <w:t>Bien que le PIB par habitant ait augmenté de 3,1 %, le taux de pauvreté (défini comme le fait de vivre avec moins de 3,65 dollars américains par jour, PPA 2017) a légèrement augmenté pour atteindre 51,9 %, sous l'effet d'une inflation plus élevée et d'une création d'emplois insuffisante dans le secteur non minier.</w:t>
      </w:r>
    </w:p>
    <w:p w14:paraId="4E9B282F" w14:textId="77777777" w:rsidR="00A2204D" w:rsidRPr="00DC6E23" w:rsidRDefault="00A2204D" w:rsidP="00A2204D">
      <w:pPr>
        <w:spacing w:line="259" w:lineRule="auto"/>
        <w:jc w:val="both"/>
        <w:rPr>
          <w:lang w:val="fr-FR"/>
        </w:rPr>
      </w:pPr>
      <w:r w:rsidRPr="00DC6E23">
        <w:rPr>
          <w:lang w:val="fr-FR"/>
        </w:rPr>
        <w:t xml:space="preserve">La Guinée prévoit de créer un fonds souverain lié au projet minier de </w:t>
      </w:r>
      <w:proofErr w:type="spellStart"/>
      <w:r w:rsidRPr="00DC6E23">
        <w:rPr>
          <w:lang w:val="fr-FR"/>
        </w:rPr>
        <w:t>Simandou</w:t>
      </w:r>
      <w:proofErr w:type="spellEnd"/>
      <w:r w:rsidRPr="00DC6E23">
        <w:rPr>
          <w:lang w:val="fr-FR"/>
        </w:rPr>
        <w:t xml:space="preserve"> afin de consacrer les revenus miniers au développement national, conformément à sa stratégie «</w:t>
      </w:r>
      <w:hyperlink r:id="rId54" w:history="1">
        <w:r w:rsidRPr="00DC6E23">
          <w:rPr>
            <w:rStyle w:val="Lienhypertexte"/>
            <w:lang w:val="fr-FR"/>
          </w:rPr>
          <w:t xml:space="preserve">Programme </w:t>
        </w:r>
        <w:proofErr w:type="spellStart"/>
        <w:r w:rsidRPr="00DC6E23">
          <w:rPr>
            <w:rStyle w:val="Lienhypertexte"/>
            <w:lang w:val="fr-FR"/>
          </w:rPr>
          <w:t>Simandou</w:t>
        </w:r>
        <w:proofErr w:type="spellEnd"/>
        <w:r w:rsidRPr="00DC6E23">
          <w:rPr>
            <w:rStyle w:val="Lienhypertexte"/>
            <w:lang w:val="fr-FR"/>
          </w:rPr>
          <w:t xml:space="preserve"> 2040</w:t>
        </w:r>
      </w:hyperlink>
      <w:r w:rsidRPr="00DC6E23">
        <w:rPr>
          <w:lang w:val="fr-FR"/>
        </w:rPr>
        <w:t>».</w:t>
      </w:r>
    </w:p>
    <w:p w14:paraId="31618232" w14:textId="20925C13" w:rsidR="00A2204D" w:rsidRPr="00DC6E23" w:rsidRDefault="00A2204D" w:rsidP="00A2204D">
      <w:pPr>
        <w:spacing w:line="259" w:lineRule="auto"/>
        <w:jc w:val="both"/>
        <w:rPr>
          <w:lang w:val="fr-FR"/>
        </w:rPr>
      </w:pPr>
      <w:hyperlink r:id="rId55" w:history="1">
        <w:r w:rsidR="709D17A9" w:rsidRPr="00DC6E23">
          <w:rPr>
            <w:rStyle w:val="Lienhypertexte"/>
            <w:lang w:val="fr-FR"/>
          </w:rPr>
          <w:t xml:space="preserve">Le FMI a simulé différents scénarios </w:t>
        </w:r>
        <w:proofErr w:type="spellStart"/>
        <w:r w:rsidR="709D17A9" w:rsidRPr="00DC6E23">
          <w:rPr>
            <w:rStyle w:val="Lienhypertexte"/>
            <w:lang w:val="fr-FR"/>
          </w:rPr>
          <w:t>politiques.</w:t>
        </w:r>
      </w:hyperlink>
      <w:r w:rsidR="709D17A9" w:rsidRPr="00DC6E23">
        <w:rPr>
          <w:lang w:val="fr-FR"/>
        </w:rPr>
        <w:t>L’objectif</w:t>
      </w:r>
      <w:proofErr w:type="spellEnd"/>
      <w:r w:rsidR="709D17A9" w:rsidRPr="00DC6E23">
        <w:rPr>
          <w:lang w:val="fr-FR"/>
        </w:rPr>
        <w:t xml:space="preserve"> était de déterminer quelle combinaison de politiques pourrait être bénéfique à l’économie et à la population guinéennes. Les résultats montrent que l’investissement des recettes fiscales dans les infrastructures et l’éducation favoriserait l’impact positif du projet sur la croissance et la réduction de la pauvreté.</w:t>
      </w:r>
    </w:p>
    <w:p w14:paraId="5888006F" w14:textId="00CEEFD2" w:rsidR="009421FD" w:rsidRPr="00DC6E23" w:rsidRDefault="709D17A9" w:rsidP="00CC15AA">
      <w:pPr>
        <w:spacing w:line="259" w:lineRule="auto"/>
        <w:jc w:val="both"/>
        <w:rPr>
          <w:lang w:val="fr-FR"/>
        </w:rPr>
      </w:pPr>
      <w:r w:rsidRPr="00DC6E23">
        <w:rPr>
          <w:lang w:val="fr-FR"/>
        </w:rPr>
        <w:t>À cet égard, l'ITIE pourrait jouer un rôle plus important en améliorant la transparence de la gestion des recettes futures et en renforçant la re</w:t>
      </w:r>
      <w:r w:rsidR="38F6187D" w:rsidRPr="00DC6E23">
        <w:rPr>
          <w:lang w:val="fr-FR"/>
        </w:rPr>
        <w:t>devabilité envers les citoyens.</w:t>
      </w:r>
    </w:p>
    <w:p w14:paraId="3899204F" w14:textId="2892B2A5" w:rsidR="00D20538" w:rsidRDefault="38F6187D" w:rsidP="035BFF2E">
      <w:pPr>
        <w:spacing w:line="259" w:lineRule="auto"/>
        <w:jc w:val="both"/>
        <w:rPr>
          <w:lang w:val="fr-FR"/>
        </w:rPr>
      </w:pPr>
      <w:r w:rsidRPr="035BFF2E">
        <w:rPr>
          <w:lang w:val="fr-FR"/>
        </w:rPr>
        <w:t xml:space="preserve">Sous réserve de la disponibilité du Budget, </w:t>
      </w:r>
      <w:r w:rsidR="47842356" w:rsidRPr="035BFF2E">
        <w:rPr>
          <w:lang w:val="fr-FR"/>
        </w:rPr>
        <w:t>l</w:t>
      </w:r>
      <w:r w:rsidR="1124F1AE" w:rsidRPr="035BFF2E">
        <w:rPr>
          <w:lang w:val="fr-FR"/>
        </w:rPr>
        <w:t>'ITIE Guinée préparera, avec le soutien du Secrétariat international, une analyse approfondie des fonds souverains et des fonds de ressources naturelles, axée sur la gouvernance, la transparence et les facteurs de réussite.</w:t>
      </w:r>
    </w:p>
    <w:p w14:paraId="25CD15B6" w14:textId="0338B35D" w:rsidR="00EB3CA6" w:rsidRPr="00DC6E23" w:rsidRDefault="00EB3CA6" w:rsidP="035BFF2E">
      <w:pPr>
        <w:spacing w:line="259" w:lineRule="auto"/>
        <w:jc w:val="both"/>
        <w:rPr>
          <w:lang w:val="fr-FR"/>
        </w:rPr>
      </w:pPr>
    </w:p>
    <w:p w14:paraId="77BC7FBE" w14:textId="77777777" w:rsidR="00D20538" w:rsidRPr="00DC6E23" w:rsidRDefault="00D20538" w:rsidP="00CC15AA">
      <w:pPr>
        <w:spacing w:line="259" w:lineRule="auto"/>
        <w:jc w:val="both"/>
        <w:rPr>
          <w:lang w:val="fr-FR"/>
        </w:rPr>
      </w:pPr>
    </w:p>
    <w:p w14:paraId="3592C88D" w14:textId="77777777" w:rsidR="00D20538" w:rsidRPr="00DC6E23" w:rsidRDefault="00D20538" w:rsidP="00CC15AA">
      <w:pPr>
        <w:spacing w:line="259" w:lineRule="auto"/>
        <w:jc w:val="both"/>
        <w:rPr>
          <w:lang w:val="fr-FR"/>
        </w:rPr>
      </w:pPr>
    </w:p>
    <w:p w14:paraId="549A7AB8" w14:textId="77777777" w:rsidR="00D20538" w:rsidRPr="00DC6E23" w:rsidRDefault="00D20538" w:rsidP="00CC15AA">
      <w:pPr>
        <w:spacing w:line="259" w:lineRule="auto"/>
        <w:jc w:val="both"/>
        <w:rPr>
          <w:lang w:val="fr-FR"/>
        </w:rPr>
      </w:pPr>
    </w:p>
    <w:p w14:paraId="06558820" w14:textId="77777777" w:rsidR="00D20538" w:rsidRPr="00DC6E23" w:rsidRDefault="00D20538" w:rsidP="00CC15AA">
      <w:pPr>
        <w:spacing w:line="259" w:lineRule="auto"/>
        <w:jc w:val="both"/>
        <w:rPr>
          <w:lang w:val="fr-FR"/>
        </w:rPr>
      </w:pPr>
    </w:p>
    <w:p w14:paraId="057C2EFA" w14:textId="77777777" w:rsidR="00C048C1" w:rsidRPr="00DC6E23" w:rsidRDefault="00C048C1" w:rsidP="00CC15AA">
      <w:pPr>
        <w:spacing w:line="259" w:lineRule="auto"/>
        <w:jc w:val="both"/>
        <w:rPr>
          <w:lang w:val="fr-FR"/>
        </w:rPr>
      </w:pPr>
    </w:p>
    <w:p w14:paraId="4E5C6D6E" w14:textId="41273498" w:rsidR="00104E24" w:rsidRPr="000E0FE1" w:rsidRDefault="00104E24" w:rsidP="035BFF2E">
      <w:pPr>
        <w:pStyle w:val="Paragraphedeliste"/>
        <w:rPr>
          <w:lang w:val="fr-FR" w:bidi="en-US"/>
        </w:rPr>
      </w:pPr>
      <w:bookmarkStart w:id="8" w:name="_Hlk203392744"/>
      <w:bookmarkEnd w:id="8"/>
    </w:p>
    <w:sectPr w:rsidR="00104E24" w:rsidRPr="000E0FE1" w:rsidSect="00E1253C">
      <w:headerReference w:type="default" r:id="rId56"/>
      <w:headerReference w:type="first" r:id="rId57"/>
      <w:pgSz w:w="11901" w:h="16840"/>
      <w:pgMar w:top="1418" w:right="1411" w:bottom="1418" w:left="1418" w:header="851" w:footer="113"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BD63A" w14:textId="77777777" w:rsidR="008E1FB5" w:rsidRDefault="008E1FB5" w:rsidP="00347D13">
      <w:r>
        <w:separator/>
      </w:r>
    </w:p>
  </w:endnote>
  <w:endnote w:type="continuationSeparator" w:id="0">
    <w:p w14:paraId="7619BF20" w14:textId="77777777" w:rsidR="008E1FB5" w:rsidRDefault="008E1FB5" w:rsidP="00347D13">
      <w:r>
        <w:continuationSeparator/>
      </w:r>
    </w:p>
  </w:endnote>
  <w:endnote w:type="continuationNotice" w:id="1">
    <w:p w14:paraId="4F394CA1" w14:textId="77777777" w:rsidR="008E1FB5" w:rsidRDefault="008E1FB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yriad Pro SemiCond">
    <w:altName w:val="Calibri"/>
    <w:panose1 w:val="00000000000000000000"/>
    <w:charset w:val="00"/>
    <w:family w:val="swiss"/>
    <w:notTrueType/>
    <w:pitch w:val="variable"/>
    <w:sig w:usb0="20000287" w:usb1="00000001" w:usb2="00000000" w:usb3="00000000" w:csb0="000001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Yu Mincho">
    <w:altName w:val="游明朝"/>
    <w:charset w:val="80"/>
    <w:family w:val="roman"/>
    <w:pitch w:val="variable"/>
    <w:sig w:usb0="800002E7" w:usb1="2AC7FCFF" w:usb2="00000012" w:usb3="00000000" w:csb0="0002009F" w:csb1="00000000"/>
  </w:font>
  <w:font w:name="Myriad Pro">
    <w:altName w:val="Calibri"/>
    <w:panose1 w:val="00000000000000000000"/>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24318" w14:textId="77777777" w:rsidR="008E1FB5" w:rsidRDefault="008E1FB5" w:rsidP="00347D13">
      <w:r>
        <w:separator/>
      </w:r>
    </w:p>
  </w:footnote>
  <w:footnote w:type="continuationSeparator" w:id="0">
    <w:p w14:paraId="0AD45205" w14:textId="77777777" w:rsidR="008E1FB5" w:rsidRDefault="008E1FB5" w:rsidP="00347D13">
      <w:r>
        <w:continuationSeparator/>
      </w:r>
    </w:p>
  </w:footnote>
  <w:footnote w:type="continuationNotice" w:id="1">
    <w:p w14:paraId="5B87EC39" w14:textId="77777777" w:rsidR="008E1FB5" w:rsidRDefault="008E1FB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96C49" w14:textId="090078AD" w:rsidR="0089747F" w:rsidRPr="006867A1" w:rsidRDefault="00F271DC" w:rsidP="006867A1">
    <w:pPr>
      <w:pStyle w:val="HeaderDate"/>
      <w:rPr>
        <w:rFonts w:ascii="Arial" w:hAnsi="Arial"/>
        <w:color w:val="FF0000"/>
        <w:sz w:val="21"/>
        <w:szCs w:val="21"/>
      </w:rPr>
    </w:pPr>
    <w:r w:rsidRPr="00F271DC">
      <mc:AlternateContent>
        <mc:Choice Requires="wps">
          <w:drawing>
            <wp:anchor distT="0" distB="0" distL="114300" distR="114300" simplePos="0" relativeHeight="251658248" behindDoc="0" locked="0" layoutInCell="1" allowOverlap="1" wp14:anchorId="196DFDBB" wp14:editId="2BABB49E">
              <wp:simplePos x="0" y="0"/>
              <wp:positionH relativeFrom="column">
                <wp:posOffset>5784215</wp:posOffset>
              </wp:positionH>
              <wp:positionV relativeFrom="paragraph">
                <wp:posOffset>-49530</wp:posOffset>
              </wp:positionV>
              <wp:extent cx="522584" cy="246380"/>
              <wp:effectExtent l="0" t="0" r="0" b="0"/>
              <wp:wrapNone/>
              <wp:docPr id="9" name="Rectangle 9"/>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w:pict w14:anchorId="1D1DD8F2">
            <v:rect id="Rectangle 9" style="position:absolute;margin-left:455.45pt;margin-top:-3.9pt;width:41.15pt;height:19.4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1pt" w14:anchorId="3424E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"/>
          </w:pict>
        </mc:Fallback>
      </mc:AlternateContent>
    </w:r>
    <w:r w:rsidR="00382E14">
      <mc:AlternateContent>
        <mc:Choice Requires="wps">
          <w:drawing>
            <wp:anchor distT="0" distB="0" distL="114300" distR="114300" simplePos="0" relativeHeight="251658241" behindDoc="0" locked="0" layoutInCell="1" allowOverlap="1" wp14:anchorId="753CE863" wp14:editId="3CAC19BF">
              <wp:simplePos x="0" y="0"/>
              <wp:positionH relativeFrom="column">
                <wp:posOffset>5768340</wp:posOffset>
              </wp:positionH>
              <wp:positionV relativeFrom="paragraph">
                <wp:posOffset>-133907</wp:posOffset>
              </wp:positionV>
              <wp:extent cx="522584" cy="246380"/>
              <wp:effectExtent l="0" t="0" r="0" b="0"/>
              <wp:wrapNone/>
              <wp:docPr id="10" name="Rectangle 10"/>
              <wp:cNvGraphicFramePr/>
              <a:graphic xmlns:a="http://schemas.openxmlformats.org/drawingml/2006/main">
                <a:graphicData uri="http://schemas.microsoft.com/office/word/2010/wordprocessingShape">
                  <wps:wsp>
                    <wps:cNvSpPr/>
                    <wps:spPr>
                      <a:xfrm>
                        <a:off x="0" y="0"/>
                        <a:ext cx="522584" cy="2463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14="http://schemas.microsoft.com/office/drawing/2010/main">
          <w:pict w14:anchorId="493DFC9D">
            <v:rect id="Rectangle 10" style="position:absolute;margin-left:454.2pt;margin-top:-10.55pt;width:41.15pt;height:19.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12]" stroked="f" strokeweight="1pt" w14:anchorId="1B756E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"/>
          </w:pict>
        </mc:Fallback>
      </mc:AlternateContent>
    </w:r>
    <w:r w:rsidR="00382E14">
      <mc:AlternateContent>
        <mc:Choice Requires="wpg">
          <w:drawing>
            <wp:anchor distT="0" distB="0" distL="114300" distR="114300" simplePos="0" relativeHeight="251658244" behindDoc="0" locked="0" layoutInCell="1" allowOverlap="1" wp14:anchorId="316490ED" wp14:editId="7A189415">
              <wp:simplePos x="0" y="0"/>
              <wp:positionH relativeFrom="column">
                <wp:posOffset>0</wp:posOffset>
              </wp:positionH>
              <wp:positionV relativeFrom="paragraph">
                <wp:posOffset>3175</wp:posOffset>
              </wp:positionV>
              <wp:extent cx="6061710" cy="457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1710" cy="45720"/>
                        <a:chOff x="1134" y="1909"/>
                        <a:chExt cx="9546" cy="179"/>
                      </a:xfrm>
                    </wpg:grpSpPr>
                    <wps:wsp>
                      <wps:cNvPr id="55"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6"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7"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8"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59"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0"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1"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62"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0BE2AAF8">
            <v:group id="Group 54" style="position:absolute;margin-left:0;margin-top:.25pt;width:477.3pt;height:3.6pt;z-index:251658244" coordsize="9546,179" coordorigin="1134,1909" o:spid="_x0000_s1026" w14:anchorId="64FBE9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">
              <v:rect id="Rectangle 1" style="position:absolute;left:1134;top:1909;width:604;height:179;visibility:visible;mso-wrap-style:square;v-text-anchor:middle" o:spid="_x0000_s1027"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">
                <v:shadow opacity="22936f" offset="0,.63889mm" origin=",.5"/>
                <v:path arrowok="t"/>
              </v:rect>
              <v:rect id="Rectangle 1" style="position:absolute;left:1646;top:1909;width:238;height:179;visibility:visible;mso-wrap-style:square;v-text-anchor:middle" o:spid="_x0000_s1028"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">
                <v:shadow opacity="22936f" offset="0,.63889mm" origin=",.5"/>
                <v:path arrowok="t"/>
              </v:rect>
              <v:rect id="Rectangle 1" style="position:absolute;left:1832;top:1909;width:266;height:179;visibility:visible;mso-wrap-style:square;v-text-anchor:middle" o:spid="_x0000_s1029"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">
                <v:shadow opacity="22936f" offset="0,.63889mm" origin=",.5"/>
                <v:path arrowok="t"/>
              </v:rect>
              <v:rect id="Rectangle 1" style="position:absolute;left:2220;top:1909;width:538;height:179;visibility:visible;mso-wrap-style:square;v-text-anchor:middle" o:spid="_x0000_s1030"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">
                <v:shadow opacity="22936f" offset="0,.63889mm" origin=",.5"/>
                <v:path arrowok="t"/>
              </v:rect>
              <v:rect id="Rectangle 1" style="position:absolute;left:2030;top:1909;width:190;height:179;visibility:visible;mso-wrap-style:square;v-text-anchor:middle" o:spid="_x0000_s1031"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">
                <v:shadow opacity="22936f" offset="0,.63889mm" origin=",.5"/>
                <v:path arrowok="t"/>
              </v:rect>
              <v:rect id="Rectangle 1" style="position:absolute;left:2714;top:1909;width:328;height:179;visibility:visible;mso-wrap-style:square;v-text-anchor:middle" o:spid="_x0000_s1032"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">
                <v:shadow opacity="22936f" offset="0,.63889mm" origin=",.5"/>
                <v:path arrowok="t"/>
              </v:rect>
              <v:rect id="Rectangle 1" style="position:absolute;left:3093;top:1909;width:7587;height:177;visibility:visible;mso-wrap-style:square;v-text-anchor:middle" o:spid="_x0000_s1033"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">
                <v:shadow opacity="22936f" offset="0,.63889mm" origin=",.5"/>
                <v:path arrowok="t"/>
              </v:rect>
              <v:rect id="Rectangle 1" style="position:absolute;left:2908;top:1909;width:195;height:179;visibility:visible;mso-wrap-style:square;v-text-anchor:middle" o:spid="_x0000_s1034"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">
                <v:shadow opacity="22936f" offset="0,.63889mm" origin=",.5"/>
                <v:path arrowok="t"/>
              </v:rect>
            </v:group>
          </w:pict>
        </mc:Fallback>
      </mc:AlternateContent>
    </w:r>
    <w:r w:rsidR="0089747F" w:rsidRPr="00602C7E">
      <w:rPr>
        <w:rFonts w:ascii="Myriad Pro" w:hAnsi="Myriad Pro"/>
        <w:lang w:eastAsia="ja-JP"/>
      </w:rPr>
      <w:tab/>
    </w:r>
    <w:r w:rsidR="00315525">
      <w:rPr>
        <w:rFonts w:ascii="Arial" w:hAnsi="Arial"/>
        <w:color w:val="FF0000"/>
        <w:sz w:val="21"/>
        <w:szCs w:val="21"/>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7746B" w14:textId="752317DD" w:rsidR="00E90C39" w:rsidRPr="006867A1" w:rsidRDefault="00382E14" w:rsidP="006867A1">
    <w:pPr>
      <w:pStyle w:val="Style1"/>
    </w:pPr>
    <w:r>
      <w:drawing>
        <wp:anchor distT="0" distB="0" distL="114300" distR="114300" simplePos="0" relativeHeight="251658243" behindDoc="0" locked="0" layoutInCell="1" allowOverlap="1" wp14:anchorId="208D61AD" wp14:editId="6AE8E6E9">
          <wp:simplePos x="0" y="0"/>
          <wp:positionH relativeFrom="column">
            <wp:posOffset>-92075</wp:posOffset>
          </wp:positionH>
          <wp:positionV relativeFrom="paragraph">
            <wp:posOffset>-126365</wp:posOffset>
          </wp:positionV>
          <wp:extent cx="1483360" cy="953135"/>
          <wp:effectExtent l="0" t="0" r="0" b="0"/>
          <wp:wrapTight wrapText="bothSides">
            <wp:wrapPolygon edited="0">
              <wp:start x="1295" y="1727"/>
              <wp:lineTo x="1110" y="18995"/>
              <wp:lineTo x="2219" y="19859"/>
              <wp:lineTo x="5733" y="20434"/>
              <wp:lineTo x="12390" y="20434"/>
              <wp:lineTo x="19418" y="19859"/>
              <wp:lineTo x="20158" y="18708"/>
              <wp:lineTo x="18493" y="16117"/>
              <wp:lineTo x="20158" y="12088"/>
              <wp:lineTo x="20158" y="1727"/>
              <wp:lineTo x="1295" y="1727"/>
            </wp:wrapPolygon>
          </wp:wrapTight>
          <wp:docPr id="25" name="Picture 66" descr="Logo_Gradient – Und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6" descr="Logo_Gradient – Und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3360" cy="953135"/>
                  </a:xfrm>
                  <a:prstGeom prst="rect">
                    <a:avLst/>
                  </a:prstGeom>
                  <a:noFill/>
                  <a:ln>
                    <a:noFill/>
                  </a:ln>
                </pic:spPr>
              </pic:pic>
            </a:graphicData>
          </a:graphic>
          <wp14:sizeRelH relativeFrom="page">
            <wp14:pctWidth>0</wp14:pctWidth>
          </wp14:sizeRelH>
          <wp14:sizeRelV relativeFrom="page">
            <wp14:pctHeight>0</wp14:pctHeight>
          </wp14:sizeRelV>
        </wp:anchor>
      </w:drawing>
    </w:r>
    <w:r w:rsidR="17B7465E">
      <w:drawing>
        <wp:inline distT="0" distB="0" distL="0" distR="0" wp14:anchorId="2D93C830" wp14:editId="07A824FC">
          <wp:extent cx="2343150" cy="899841"/>
          <wp:effectExtent l="0" t="0" r="0" b="0"/>
          <wp:docPr id="14904555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55561" name="Picture 1490455561"/>
                  <pic:cNvPicPr/>
                </pic:nvPicPr>
                <pic:blipFill>
                  <a:blip r:embed="rId2">
                    <a:extLst>
                      <a:ext uri="{28A0092B-C50C-407E-A947-70E740481C1C}">
                        <a14:useLocalDpi xmlns:a14="http://schemas.microsoft.com/office/drawing/2010/main"/>
                      </a:ext>
                    </a:extLst>
                  </a:blip>
                  <a:stretch>
                    <a:fillRect/>
                  </a:stretch>
                </pic:blipFill>
                <pic:spPr>
                  <a:xfrm>
                    <a:off x="0" y="0"/>
                    <a:ext cx="2343150" cy="899841"/>
                  </a:xfrm>
                  <a:prstGeom prst="rect">
                    <a:avLst/>
                  </a:prstGeom>
                </pic:spPr>
              </pic:pic>
            </a:graphicData>
          </a:graphic>
        </wp:inline>
      </w:drawing>
    </w:r>
  </w:p>
  <w:p w14:paraId="1DAA298E" w14:textId="47B4FC90" w:rsidR="0089747F" w:rsidRPr="000E0FE1" w:rsidRDefault="17B7465E" w:rsidP="006867A1">
    <w:pPr>
      <w:pStyle w:val="HeaderDate"/>
      <w:rPr>
        <w:lang w:val="fr-FR"/>
      </w:rPr>
    </w:pPr>
    <w:r w:rsidRPr="17B7465E">
      <w:rPr>
        <w:lang w:val="fr-FR"/>
      </w:rPr>
      <w:t>ITIE Guinée</w:t>
    </w:r>
  </w:p>
  <w:p w14:paraId="2408E9A8" w14:textId="1F74E548" w:rsidR="006867A1" w:rsidRPr="000E0FE1" w:rsidRDefault="0089747F" w:rsidP="006867A1">
    <w:pPr>
      <w:pStyle w:val="HeaderDate"/>
      <w:rPr>
        <w:lang w:val="fr-FR"/>
      </w:rPr>
    </w:pPr>
    <w:r w:rsidRPr="00DC6E23">
      <w:rPr>
        <w:lang w:val="fr-FR"/>
      </w:rPr>
      <w:tab/>
    </w:r>
    <w:r w:rsidRPr="00DC6E23">
      <w:rPr>
        <w:lang w:val="fr-FR"/>
      </w:rPr>
      <w:tab/>
    </w:r>
    <w:r w:rsidR="4CC14389" w:rsidRPr="000E0FE1">
      <w:rPr>
        <w:lang w:val="fr-FR"/>
      </w:rPr>
      <w:t>30 juin 2025</w:t>
    </w:r>
  </w:p>
  <w:p w14:paraId="04F886EF" w14:textId="77777777" w:rsidR="006867A1" w:rsidRPr="000E0FE1" w:rsidRDefault="00382E14" w:rsidP="006867A1">
    <w:pPr>
      <w:tabs>
        <w:tab w:val="right" w:pos="9498"/>
      </w:tabs>
      <w:rPr>
        <w:rFonts w:ascii="Franklin Gothic Medium" w:hAnsi="Franklin Gothic Medium"/>
        <w:lang w:val="fr-FR"/>
      </w:rPr>
    </w:pPr>
    <w:r>
      <w:rPr>
        <w:noProof/>
      </w:rPr>
      <mc:AlternateContent>
        <mc:Choice Requires="wpg">
          <w:drawing>
            <wp:anchor distT="0" distB="0" distL="114300" distR="114300" simplePos="0" relativeHeight="251658240" behindDoc="0" locked="0" layoutInCell="1" allowOverlap="1" wp14:anchorId="03EF7A46" wp14:editId="15328C33">
              <wp:simplePos x="0" y="0"/>
              <wp:positionH relativeFrom="column">
                <wp:posOffset>-5080</wp:posOffset>
              </wp:positionH>
              <wp:positionV relativeFrom="paragraph">
                <wp:posOffset>93980</wp:posOffset>
              </wp:positionV>
              <wp:extent cx="5781675" cy="45720"/>
              <wp:effectExtent l="0" t="0" r="9525"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675" cy="45720"/>
                        <a:chOff x="1134" y="1909"/>
                        <a:chExt cx="9546" cy="179"/>
                      </a:xfrm>
                    </wpg:grpSpPr>
                    <wps:wsp>
                      <wps:cNvPr id="31" name="Rectangle 1"/>
                      <wps:cNvSpPr>
                        <a:spLocks/>
                      </wps:cNvSpPr>
                      <wps:spPr bwMode="auto">
                        <a:xfrm>
                          <a:off x="1134" y="1909"/>
                          <a:ext cx="604"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2" name="Rectangle 1"/>
                      <wps:cNvSpPr>
                        <a:spLocks/>
                      </wps:cNvSpPr>
                      <wps:spPr bwMode="auto">
                        <a:xfrm>
                          <a:off x="1646" y="1909"/>
                          <a:ext cx="23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3" name="Rectangle 1"/>
                      <wps:cNvSpPr>
                        <a:spLocks/>
                      </wps:cNvSpPr>
                      <wps:spPr bwMode="auto">
                        <a:xfrm>
                          <a:off x="1832" y="1909"/>
                          <a:ext cx="266"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35" name="Rectangle 1"/>
                      <wps:cNvSpPr>
                        <a:spLocks/>
                      </wps:cNvSpPr>
                      <wps:spPr bwMode="auto">
                        <a:xfrm>
                          <a:off x="2220" y="1909"/>
                          <a:ext cx="538"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1" name="Rectangle 1"/>
                      <wps:cNvSpPr>
                        <a:spLocks/>
                      </wps:cNvSpPr>
                      <wps:spPr bwMode="auto">
                        <a:xfrm>
                          <a:off x="2030" y="1909"/>
                          <a:ext cx="190"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2" name="Rectangle 1"/>
                      <wps:cNvSpPr>
                        <a:spLocks/>
                      </wps:cNvSpPr>
                      <wps:spPr bwMode="auto">
                        <a:xfrm>
                          <a:off x="2714" y="1909"/>
                          <a:ext cx="328" cy="179"/>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3" name="Rectangle 1"/>
                      <wps:cNvSpPr>
                        <a:spLocks/>
                      </wps:cNvSpPr>
                      <wps:spPr bwMode="auto">
                        <a:xfrm>
                          <a:off x="3093" y="1909"/>
                          <a:ext cx="7587" cy="177"/>
                        </a:xfrm>
                        <a:prstGeom prst="rect">
                          <a:avLst/>
                        </a:prstGeom>
                        <a:solidFill>
                          <a:srgbClr val="184065"/>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s:wsp>
                      <wps:cNvPr id="44" name="Rectangle 1"/>
                      <wps:cNvSpPr>
                        <a:spLocks/>
                      </wps:cNvSpPr>
                      <wps:spPr bwMode="auto">
                        <a:xfrm>
                          <a:off x="2908" y="1909"/>
                          <a:ext cx="195" cy="179"/>
                        </a:xfrm>
                        <a:prstGeom prst="rect">
                          <a:avLst/>
                        </a:prstGeom>
                        <a:solidFill>
                          <a:srgbClr val="31AED6"/>
                        </a:solidFill>
                        <a:ln>
                          <a:noFill/>
                        </a:ln>
                        <a:effectLst/>
                        <a:extLst>
                          <a:ext uri="{91240B29-F687-4F45-9708-019B960494DF}">
                            <a14:hiddenLine xmlns:a14="http://schemas.microsoft.com/office/drawing/2010/main" w="9525">
                              <a:solidFill>
                                <a:srgbClr val="4A7EBB"/>
                              </a:solidFill>
                              <a:miter lim="800000"/>
                              <a:headEnd/>
                              <a:tailEnd/>
                            </a14:hiddenLine>
                          </a:ext>
                          <a:ext uri="{AF507438-7753-43E0-B8FC-AC1667EBCBE1}">
                            <a14:hiddenEffects xmlns:a14="http://schemas.microsoft.com/office/drawing/2010/main">
                              <a:effectLst>
                                <a:outerShdw blurRad="40000" dist="23000" dir="5400000" rotWithShape="0">
                                  <a:srgbClr val="80808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F8147AA">
            <v:group id="Group 29" style="position:absolute;margin-left:-.4pt;margin-top:7.4pt;width:455.25pt;height:3.6pt;z-index:251658240" coordsize="9546,179" coordorigin="1134,1909" o:spid="_x0000_s1026" w14:anchorId="4A6EED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">
              <v:rect id="Rectangle 1" style="position:absolute;left:1134;top:1909;width:604;height:179;visibility:visible;mso-wrap-style:square;v-text-anchor:middle" o:spid="_x0000_s1027"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">
                <v:shadow opacity="22936f" offset="0,.63889mm" origin=",.5"/>
                <v:path arrowok="t"/>
              </v:rect>
              <v:rect id="Rectangle 1" style="position:absolute;left:1646;top:1909;width:238;height:179;visibility:visible;mso-wrap-style:square;v-text-anchor:middle" o:spid="_x0000_s1028"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">
                <v:shadow opacity="22936f" offset="0,.63889mm" origin=",.5"/>
                <v:path arrowok="t"/>
              </v:rect>
              <v:rect id="Rectangle 1" style="position:absolute;left:1832;top:1909;width:266;height:179;visibility:visible;mso-wrap-style:square;v-text-anchor:middle" o:spid="_x0000_s1029"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">
                <v:shadow opacity="22936f" offset="0,.63889mm" origin=",.5"/>
                <v:path arrowok="t"/>
              </v:rect>
              <v:rect id="Rectangle 1" style="position:absolute;left:2220;top:1909;width:538;height:179;visibility:visible;mso-wrap-style:square;v-text-anchor:middle" o:spid="_x0000_s1030"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">
                <v:shadow opacity="22936f" offset="0,.63889mm" origin=",.5"/>
                <v:path arrowok="t"/>
              </v:rect>
              <v:rect id="Rectangle 1" style="position:absolute;left:2030;top:1909;width:190;height:179;visibility:visible;mso-wrap-style:square;v-text-anchor:middle" o:spid="_x0000_s1031"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">
                <v:shadow opacity="22936f" offset="0,.63889mm" origin=",.5"/>
                <v:path arrowok="t"/>
              </v:rect>
              <v:rect id="Rectangle 1" style="position:absolute;left:2714;top:1909;width:328;height:179;visibility:visible;mso-wrap-style:square;v-text-anchor:middle" o:spid="_x0000_s1032"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">
                <v:shadow opacity="22936f" offset="0,.63889mm" origin=",.5"/>
                <v:path arrowok="t"/>
              </v:rect>
              <v:rect id="Rectangle 1" style="position:absolute;left:3093;top:1909;width:7587;height:177;visibility:visible;mso-wrap-style:square;v-text-anchor:middle" o:spid="_x0000_s1033" fillcolor="#184065"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">
                <v:shadow opacity="22936f" offset="0,.63889mm" origin=",.5"/>
                <v:path arrowok="t"/>
              </v:rect>
              <v:rect id="Rectangle 1" style="position:absolute;left:2908;top:1909;width:195;height:179;visibility:visible;mso-wrap-style:square;v-text-anchor:middle" o:spid="_x0000_s1034" fillcolor="#31aed6" stroked="f" strokecolor="#4a7ebb"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">
                <v:shadow opacity="22936f" offset="0,.63889mm" origin=",.5"/>
                <v:path arrowok="t"/>
              </v:rect>
            </v:group>
          </w:pict>
        </mc:Fallback>
      </mc:AlternateContent>
    </w:r>
    <w:r w:rsidR="006867A1" w:rsidRPr="00DC6E23">
      <w:rPr>
        <w:rFonts w:ascii="Franklin Gothic Medium" w:hAnsi="Franklin Gothic Medium"/>
        <w:lang w:val="fr-FR"/>
      </w:rPr>
      <w:tab/>
    </w:r>
  </w:p>
</w:hdr>
</file>

<file path=word/intelligence2.xml><?xml version="1.0" encoding="utf-8"?>
<int2:intelligence xmlns:int2="http://schemas.microsoft.com/office/intelligence/2020/intelligence" xmlns:oel="http://schemas.microsoft.com/office/2019/extlst">
  <int2:observations>
    <int2:textHash int2:hashCode="eMfMPSb0rPpSFV" int2:id="dIEpyXSy">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14F89"/>
    <w:multiLevelType w:val="hybridMultilevel"/>
    <w:tmpl w:val="3D9CF6B8"/>
    <w:lvl w:ilvl="0" w:tplc="AE2202C6">
      <w:start w:val="1"/>
      <w:numFmt w:val="decimal"/>
      <w:pStyle w:val="Titr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25504E"/>
    <w:multiLevelType w:val="hybridMultilevel"/>
    <w:tmpl w:val="0D7E05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31B7662A"/>
    <w:multiLevelType w:val="hybridMultilevel"/>
    <w:tmpl w:val="3B188008"/>
    <w:lvl w:ilvl="0" w:tplc="0414000B">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7AC0A3D"/>
    <w:multiLevelType w:val="hybridMultilevel"/>
    <w:tmpl w:val="CE4E2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A2A7665"/>
    <w:multiLevelType w:val="hybridMultilevel"/>
    <w:tmpl w:val="8ABE19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26F5184"/>
    <w:multiLevelType w:val="hybridMultilevel"/>
    <w:tmpl w:val="643A71A0"/>
    <w:lvl w:ilvl="0" w:tplc="66BA5C96">
      <w:start w:val="1"/>
      <w:numFmt w:val="bullet"/>
      <w:lvlText w:val=""/>
      <w:lvlJc w:val="left"/>
      <w:pPr>
        <w:ind w:left="720" w:hanging="360"/>
      </w:pPr>
      <w:rPr>
        <w:rFonts w:ascii="Symbol" w:hAnsi="Symbol" w:hint="default"/>
      </w:rPr>
    </w:lvl>
    <w:lvl w:ilvl="1" w:tplc="53DC7AE6">
      <w:start w:val="1"/>
      <w:numFmt w:val="bullet"/>
      <w:lvlText w:val="o"/>
      <w:lvlJc w:val="left"/>
      <w:pPr>
        <w:ind w:left="1440" w:hanging="360"/>
      </w:pPr>
      <w:rPr>
        <w:rFonts w:ascii="Courier New" w:hAnsi="Courier New" w:hint="default"/>
      </w:rPr>
    </w:lvl>
    <w:lvl w:ilvl="2" w:tplc="34F86D7C">
      <w:start w:val="1"/>
      <w:numFmt w:val="bullet"/>
      <w:lvlText w:val=""/>
      <w:lvlJc w:val="left"/>
      <w:pPr>
        <w:ind w:left="2160" w:hanging="360"/>
      </w:pPr>
      <w:rPr>
        <w:rFonts w:ascii="Wingdings" w:hAnsi="Wingdings" w:hint="default"/>
      </w:rPr>
    </w:lvl>
    <w:lvl w:ilvl="3" w:tplc="A6A8E93E">
      <w:start w:val="1"/>
      <w:numFmt w:val="bullet"/>
      <w:lvlText w:val=""/>
      <w:lvlJc w:val="left"/>
      <w:pPr>
        <w:ind w:left="2880" w:hanging="360"/>
      </w:pPr>
      <w:rPr>
        <w:rFonts w:ascii="Symbol" w:hAnsi="Symbol" w:hint="default"/>
      </w:rPr>
    </w:lvl>
    <w:lvl w:ilvl="4" w:tplc="7848DDB0">
      <w:start w:val="1"/>
      <w:numFmt w:val="bullet"/>
      <w:lvlText w:val="o"/>
      <w:lvlJc w:val="left"/>
      <w:pPr>
        <w:ind w:left="3600" w:hanging="360"/>
      </w:pPr>
      <w:rPr>
        <w:rFonts w:ascii="Courier New" w:hAnsi="Courier New" w:hint="default"/>
      </w:rPr>
    </w:lvl>
    <w:lvl w:ilvl="5" w:tplc="23BE7166">
      <w:start w:val="1"/>
      <w:numFmt w:val="bullet"/>
      <w:lvlText w:val=""/>
      <w:lvlJc w:val="left"/>
      <w:pPr>
        <w:ind w:left="4320" w:hanging="360"/>
      </w:pPr>
      <w:rPr>
        <w:rFonts w:ascii="Wingdings" w:hAnsi="Wingdings" w:hint="default"/>
      </w:rPr>
    </w:lvl>
    <w:lvl w:ilvl="6" w:tplc="B8CC1314">
      <w:start w:val="1"/>
      <w:numFmt w:val="bullet"/>
      <w:lvlText w:val=""/>
      <w:lvlJc w:val="left"/>
      <w:pPr>
        <w:ind w:left="5040" w:hanging="360"/>
      </w:pPr>
      <w:rPr>
        <w:rFonts w:ascii="Symbol" w:hAnsi="Symbol" w:hint="default"/>
      </w:rPr>
    </w:lvl>
    <w:lvl w:ilvl="7" w:tplc="5B02E9A0">
      <w:start w:val="1"/>
      <w:numFmt w:val="bullet"/>
      <w:lvlText w:val="o"/>
      <w:lvlJc w:val="left"/>
      <w:pPr>
        <w:ind w:left="5760" w:hanging="360"/>
      </w:pPr>
      <w:rPr>
        <w:rFonts w:ascii="Courier New" w:hAnsi="Courier New" w:hint="default"/>
      </w:rPr>
    </w:lvl>
    <w:lvl w:ilvl="8" w:tplc="46F20084">
      <w:start w:val="1"/>
      <w:numFmt w:val="bullet"/>
      <w:lvlText w:val=""/>
      <w:lvlJc w:val="left"/>
      <w:pPr>
        <w:ind w:left="6480" w:hanging="360"/>
      </w:pPr>
      <w:rPr>
        <w:rFonts w:ascii="Wingdings" w:hAnsi="Wingdings" w:hint="default"/>
      </w:rPr>
    </w:lvl>
  </w:abstractNum>
  <w:abstractNum w:abstractNumId="6" w15:restartNumberingAfterBreak="0">
    <w:nsid w:val="60782A7E"/>
    <w:multiLevelType w:val="multilevel"/>
    <w:tmpl w:val="DB10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7B017C"/>
    <w:multiLevelType w:val="multilevel"/>
    <w:tmpl w:val="25800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275801"/>
    <w:multiLevelType w:val="multilevel"/>
    <w:tmpl w:val="D846A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1394030">
    <w:abstractNumId w:val="5"/>
  </w:num>
  <w:num w:numId="2" w16cid:durableId="1633053497">
    <w:abstractNumId w:val="0"/>
  </w:num>
  <w:num w:numId="3" w16cid:durableId="1169372925">
    <w:abstractNumId w:val="3"/>
  </w:num>
  <w:num w:numId="4" w16cid:durableId="1403673514">
    <w:abstractNumId w:val="7"/>
  </w:num>
  <w:num w:numId="5" w16cid:durableId="1142115375">
    <w:abstractNumId w:val="8"/>
  </w:num>
  <w:num w:numId="6" w16cid:durableId="1478230227">
    <w:abstractNumId w:val="6"/>
  </w:num>
  <w:num w:numId="7" w16cid:durableId="111830558">
    <w:abstractNumId w:val="1"/>
  </w:num>
  <w:num w:numId="8" w16cid:durableId="984089410">
    <w:abstractNumId w:val="2"/>
  </w:num>
  <w:num w:numId="9" w16cid:durableId="1571772842">
    <w:abstractNumId w:val="0"/>
  </w:num>
  <w:num w:numId="10" w16cid:durableId="1326393173">
    <w:abstractNumId w:val="0"/>
  </w:num>
  <w:num w:numId="11" w16cid:durableId="1485778983">
    <w:abstractNumId w:val="4"/>
  </w:num>
  <w:num w:numId="12" w16cid:durableId="53373911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B90"/>
    <w:rsid w:val="00001190"/>
    <w:rsid w:val="00001B47"/>
    <w:rsid w:val="00002039"/>
    <w:rsid w:val="00002A14"/>
    <w:rsid w:val="00004E42"/>
    <w:rsid w:val="00005757"/>
    <w:rsid w:val="00006E27"/>
    <w:rsid w:val="00006FD3"/>
    <w:rsid w:val="00010C9A"/>
    <w:rsid w:val="00011E97"/>
    <w:rsid w:val="00016F0A"/>
    <w:rsid w:val="00021163"/>
    <w:rsid w:val="00023FF9"/>
    <w:rsid w:val="00024131"/>
    <w:rsid w:val="00025DE7"/>
    <w:rsid w:val="000271B9"/>
    <w:rsid w:val="00032330"/>
    <w:rsid w:val="000335ED"/>
    <w:rsid w:val="00036065"/>
    <w:rsid w:val="00040F29"/>
    <w:rsid w:val="000412E3"/>
    <w:rsid w:val="000429FC"/>
    <w:rsid w:val="00042E3B"/>
    <w:rsid w:val="00042FE6"/>
    <w:rsid w:val="00043A4E"/>
    <w:rsid w:val="00045FFE"/>
    <w:rsid w:val="000462EE"/>
    <w:rsid w:val="000478BA"/>
    <w:rsid w:val="00047C8B"/>
    <w:rsid w:val="00051010"/>
    <w:rsid w:val="000524D7"/>
    <w:rsid w:val="00054704"/>
    <w:rsid w:val="000577B3"/>
    <w:rsid w:val="00060F82"/>
    <w:rsid w:val="0006421C"/>
    <w:rsid w:val="0006583E"/>
    <w:rsid w:val="000702D0"/>
    <w:rsid w:val="00076002"/>
    <w:rsid w:val="00076063"/>
    <w:rsid w:val="00076F91"/>
    <w:rsid w:val="00082548"/>
    <w:rsid w:val="00082A69"/>
    <w:rsid w:val="00082E9C"/>
    <w:rsid w:val="0008399F"/>
    <w:rsid w:val="00083E2B"/>
    <w:rsid w:val="00092532"/>
    <w:rsid w:val="00096C4F"/>
    <w:rsid w:val="000A32B4"/>
    <w:rsid w:val="000A48AD"/>
    <w:rsid w:val="000A605D"/>
    <w:rsid w:val="000A6C96"/>
    <w:rsid w:val="000A7397"/>
    <w:rsid w:val="000B42D4"/>
    <w:rsid w:val="000C383E"/>
    <w:rsid w:val="000C46B4"/>
    <w:rsid w:val="000C727F"/>
    <w:rsid w:val="000D3605"/>
    <w:rsid w:val="000D45BF"/>
    <w:rsid w:val="000D4ACE"/>
    <w:rsid w:val="000E0C98"/>
    <w:rsid w:val="000E0FE1"/>
    <w:rsid w:val="000E1823"/>
    <w:rsid w:val="000E3492"/>
    <w:rsid w:val="000E3EF2"/>
    <w:rsid w:val="000E428B"/>
    <w:rsid w:val="000F4248"/>
    <w:rsid w:val="000F548A"/>
    <w:rsid w:val="000F6181"/>
    <w:rsid w:val="00101B29"/>
    <w:rsid w:val="001029C6"/>
    <w:rsid w:val="00104E24"/>
    <w:rsid w:val="00105CD9"/>
    <w:rsid w:val="00105FB2"/>
    <w:rsid w:val="00107CE4"/>
    <w:rsid w:val="00110151"/>
    <w:rsid w:val="001117E2"/>
    <w:rsid w:val="001118A5"/>
    <w:rsid w:val="00113EF6"/>
    <w:rsid w:val="00115F94"/>
    <w:rsid w:val="00116F8C"/>
    <w:rsid w:val="00122B8A"/>
    <w:rsid w:val="00122F72"/>
    <w:rsid w:val="00124989"/>
    <w:rsid w:val="0013728E"/>
    <w:rsid w:val="00140927"/>
    <w:rsid w:val="00144461"/>
    <w:rsid w:val="00144787"/>
    <w:rsid w:val="00144F35"/>
    <w:rsid w:val="00144F78"/>
    <w:rsid w:val="00145B2E"/>
    <w:rsid w:val="001466CC"/>
    <w:rsid w:val="00147E38"/>
    <w:rsid w:val="00150899"/>
    <w:rsid w:val="00151E00"/>
    <w:rsid w:val="001532DA"/>
    <w:rsid w:val="001548F5"/>
    <w:rsid w:val="00154A3E"/>
    <w:rsid w:val="00155E3E"/>
    <w:rsid w:val="00155E4C"/>
    <w:rsid w:val="00156719"/>
    <w:rsid w:val="00161A7F"/>
    <w:rsid w:val="001623DD"/>
    <w:rsid w:val="00165B87"/>
    <w:rsid w:val="00166F6F"/>
    <w:rsid w:val="0016736F"/>
    <w:rsid w:val="0016753E"/>
    <w:rsid w:val="001726AE"/>
    <w:rsid w:val="00176DE9"/>
    <w:rsid w:val="00177B08"/>
    <w:rsid w:val="0017A19E"/>
    <w:rsid w:val="0018133E"/>
    <w:rsid w:val="00181EE8"/>
    <w:rsid w:val="001827A1"/>
    <w:rsid w:val="00184171"/>
    <w:rsid w:val="0019157E"/>
    <w:rsid w:val="001946E8"/>
    <w:rsid w:val="00194935"/>
    <w:rsid w:val="001A5568"/>
    <w:rsid w:val="001B14A3"/>
    <w:rsid w:val="001B3621"/>
    <w:rsid w:val="001B49D3"/>
    <w:rsid w:val="001B5089"/>
    <w:rsid w:val="001C031B"/>
    <w:rsid w:val="001C0F39"/>
    <w:rsid w:val="001C6307"/>
    <w:rsid w:val="001C7839"/>
    <w:rsid w:val="001CBE1F"/>
    <w:rsid w:val="001D09F5"/>
    <w:rsid w:val="001D1E6A"/>
    <w:rsid w:val="001D1F19"/>
    <w:rsid w:val="001D3444"/>
    <w:rsid w:val="001D426A"/>
    <w:rsid w:val="001D4779"/>
    <w:rsid w:val="001D605F"/>
    <w:rsid w:val="001E1B08"/>
    <w:rsid w:val="001E2180"/>
    <w:rsid w:val="001E29A8"/>
    <w:rsid w:val="001E58AF"/>
    <w:rsid w:val="001E77E3"/>
    <w:rsid w:val="001F2F50"/>
    <w:rsid w:val="001F7CC6"/>
    <w:rsid w:val="00200A36"/>
    <w:rsid w:val="00202409"/>
    <w:rsid w:val="0020556F"/>
    <w:rsid w:val="00205D00"/>
    <w:rsid w:val="00205F5E"/>
    <w:rsid w:val="00206A59"/>
    <w:rsid w:val="00206E87"/>
    <w:rsid w:val="002072AF"/>
    <w:rsid w:val="0020746F"/>
    <w:rsid w:val="00211B7D"/>
    <w:rsid w:val="00213E17"/>
    <w:rsid w:val="002143F6"/>
    <w:rsid w:val="00217DE7"/>
    <w:rsid w:val="00217F12"/>
    <w:rsid w:val="00221A0D"/>
    <w:rsid w:val="00221AC6"/>
    <w:rsid w:val="00223AC5"/>
    <w:rsid w:val="0022732E"/>
    <w:rsid w:val="002274A7"/>
    <w:rsid w:val="002276D0"/>
    <w:rsid w:val="00235650"/>
    <w:rsid w:val="002369BB"/>
    <w:rsid w:val="002400B2"/>
    <w:rsid w:val="00241B19"/>
    <w:rsid w:val="0024267B"/>
    <w:rsid w:val="0024270B"/>
    <w:rsid w:val="00245174"/>
    <w:rsid w:val="002458F2"/>
    <w:rsid w:val="00245F7A"/>
    <w:rsid w:val="00246008"/>
    <w:rsid w:val="002460B8"/>
    <w:rsid w:val="0024656C"/>
    <w:rsid w:val="00246DBA"/>
    <w:rsid w:val="002500F6"/>
    <w:rsid w:val="00251E89"/>
    <w:rsid w:val="002533AF"/>
    <w:rsid w:val="00255DA1"/>
    <w:rsid w:val="0025739D"/>
    <w:rsid w:val="00264427"/>
    <w:rsid w:val="002654BA"/>
    <w:rsid w:val="00265B13"/>
    <w:rsid w:val="00270E59"/>
    <w:rsid w:val="002719E6"/>
    <w:rsid w:val="00271DEE"/>
    <w:rsid w:val="00274BD4"/>
    <w:rsid w:val="002750C9"/>
    <w:rsid w:val="00275EB1"/>
    <w:rsid w:val="002827F2"/>
    <w:rsid w:val="0028325F"/>
    <w:rsid w:val="002836BA"/>
    <w:rsid w:val="00286993"/>
    <w:rsid w:val="00287264"/>
    <w:rsid w:val="0029553D"/>
    <w:rsid w:val="002A03AE"/>
    <w:rsid w:val="002A0ED1"/>
    <w:rsid w:val="002A0FEE"/>
    <w:rsid w:val="002A1699"/>
    <w:rsid w:val="002A43B4"/>
    <w:rsid w:val="002A4A56"/>
    <w:rsid w:val="002A59E6"/>
    <w:rsid w:val="002A5E3E"/>
    <w:rsid w:val="002A7EF2"/>
    <w:rsid w:val="002B36FB"/>
    <w:rsid w:val="002B5981"/>
    <w:rsid w:val="002B6514"/>
    <w:rsid w:val="002B7819"/>
    <w:rsid w:val="002C0153"/>
    <w:rsid w:val="002C0490"/>
    <w:rsid w:val="002C075B"/>
    <w:rsid w:val="002C0BB0"/>
    <w:rsid w:val="002C0D0E"/>
    <w:rsid w:val="002C215B"/>
    <w:rsid w:val="002C2F34"/>
    <w:rsid w:val="002C614B"/>
    <w:rsid w:val="002C78A9"/>
    <w:rsid w:val="002D3259"/>
    <w:rsid w:val="002D76BC"/>
    <w:rsid w:val="002E49B7"/>
    <w:rsid w:val="002E60E9"/>
    <w:rsid w:val="002E6596"/>
    <w:rsid w:val="002E7107"/>
    <w:rsid w:val="002E783C"/>
    <w:rsid w:val="002F1CE3"/>
    <w:rsid w:val="002F1E34"/>
    <w:rsid w:val="002F2270"/>
    <w:rsid w:val="002F29AB"/>
    <w:rsid w:val="002F7C1A"/>
    <w:rsid w:val="00302263"/>
    <w:rsid w:val="00302735"/>
    <w:rsid w:val="0030509C"/>
    <w:rsid w:val="00305210"/>
    <w:rsid w:val="0030687E"/>
    <w:rsid w:val="00306F44"/>
    <w:rsid w:val="00311ABD"/>
    <w:rsid w:val="00315525"/>
    <w:rsid w:val="00315A72"/>
    <w:rsid w:val="00317562"/>
    <w:rsid w:val="00321569"/>
    <w:rsid w:val="00322283"/>
    <w:rsid w:val="00323B06"/>
    <w:rsid w:val="00324E4C"/>
    <w:rsid w:val="00325B6B"/>
    <w:rsid w:val="00327CB4"/>
    <w:rsid w:val="00330473"/>
    <w:rsid w:val="003309AA"/>
    <w:rsid w:val="00333978"/>
    <w:rsid w:val="00337947"/>
    <w:rsid w:val="003404AE"/>
    <w:rsid w:val="00340A0B"/>
    <w:rsid w:val="003412CF"/>
    <w:rsid w:val="00344928"/>
    <w:rsid w:val="00345D77"/>
    <w:rsid w:val="00346D11"/>
    <w:rsid w:val="00347D13"/>
    <w:rsid w:val="00350DAB"/>
    <w:rsid w:val="0035211A"/>
    <w:rsid w:val="00353955"/>
    <w:rsid w:val="00354527"/>
    <w:rsid w:val="0035629C"/>
    <w:rsid w:val="00356FBF"/>
    <w:rsid w:val="003600DC"/>
    <w:rsid w:val="0036133E"/>
    <w:rsid w:val="003626B5"/>
    <w:rsid w:val="0036584E"/>
    <w:rsid w:val="00366389"/>
    <w:rsid w:val="003712BC"/>
    <w:rsid w:val="00371F11"/>
    <w:rsid w:val="003728BB"/>
    <w:rsid w:val="0037301F"/>
    <w:rsid w:val="00373FB5"/>
    <w:rsid w:val="0037480A"/>
    <w:rsid w:val="00374B4E"/>
    <w:rsid w:val="00375F29"/>
    <w:rsid w:val="003809C3"/>
    <w:rsid w:val="00380CD4"/>
    <w:rsid w:val="003821EC"/>
    <w:rsid w:val="00382E14"/>
    <w:rsid w:val="00385B19"/>
    <w:rsid w:val="00385D67"/>
    <w:rsid w:val="00386121"/>
    <w:rsid w:val="00386F34"/>
    <w:rsid w:val="003877B1"/>
    <w:rsid w:val="0039016D"/>
    <w:rsid w:val="00392CAA"/>
    <w:rsid w:val="0039391E"/>
    <w:rsid w:val="003949B3"/>
    <w:rsid w:val="00395014"/>
    <w:rsid w:val="00395062"/>
    <w:rsid w:val="00396A3F"/>
    <w:rsid w:val="003A0B51"/>
    <w:rsid w:val="003A35BB"/>
    <w:rsid w:val="003B184A"/>
    <w:rsid w:val="003B394A"/>
    <w:rsid w:val="003C074B"/>
    <w:rsid w:val="003C2398"/>
    <w:rsid w:val="003C37CC"/>
    <w:rsid w:val="003C6A43"/>
    <w:rsid w:val="003D06CD"/>
    <w:rsid w:val="003D0CEA"/>
    <w:rsid w:val="003D1F0E"/>
    <w:rsid w:val="003D569F"/>
    <w:rsid w:val="003D5ACF"/>
    <w:rsid w:val="003E1429"/>
    <w:rsid w:val="003F0E45"/>
    <w:rsid w:val="003F1D44"/>
    <w:rsid w:val="003F26A5"/>
    <w:rsid w:val="003F2FD0"/>
    <w:rsid w:val="003F6B0F"/>
    <w:rsid w:val="004014B4"/>
    <w:rsid w:val="00401F3A"/>
    <w:rsid w:val="00402C96"/>
    <w:rsid w:val="00402FBA"/>
    <w:rsid w:val="0040393C"/>
    <w:rsid w:val="00405E09"/>
    <w:rsid w:val="00407A49"/>
    <w:rsid w:val="00407B93"/>
    <w:rsid w:val="00411DA6"/>
    <w:rsid w:val="00414499"/>
    <w:rsid w:val="00414702"/>
    <w:rsid w:val="004204A5"/>
    <w:rsid w:val="00420579"/>
    <w:rsid w:val="00420E92"/>
    <w:rsid w:val="00422544"/>
    <w:rsid w:val="004234FE"/>
    <w:rsid w:val="004238D4"/>
    <w:rsid w:val="00423970"/>
    <w:rsid w:val="00423BEF"/>
    <w:rsid w:val="00425BBE"/>
    <w:rsid w:val="00427288"/>
    <w:rsid w:val="004278A2"/>
    <w:rsid w:val="00430E03"/>
    <w:rsid w:val="0043145C"/>
    <w:rsid w:val="004358B1"/>
    <w:rsid w:val="00440CA0"/>
    <w:rsid w:val="0044263D"/>
    <w:rsid w:val="00443CD5"/>
    <w:rsid w:val="00444D3F"/>
    <w:rsid w:val="0044707A"/>
    <w:rsid w:val="004508D3"/>
    <w:rsid w:val="00450EE1"/>
    <w:rsid w:val="004530F8"/>
    <w:rsid w:val="0045363B"/>
    <w:rsid w:val="0045488A"/>
    <w:rsid w:val="004550BC"/>
    <w:rsid w:val="00455164"/>
    <w:rsid w:val="004603D3"/>
    <w:rsid w:val="00461241"/>
    <w:rsid w:val="004613F1"/>
    <w:rsid w:val="0046163D"/>
    <w:rsid w:val="004625DE"/>
    <w:rsid w:val="00462A65"/>
    <w:rsid w:val="0046374A"/>
    <w:rsid w:val="00464A33"/>
    <w:rsid w:val="00464FB4"/>
    <w:rsid w:val="00465C4A"/>
    <w:rsid w:val="00473493"/>
    <w:rsid w:val="00474E88"/>
    <w:rsid w:val="004750EB"/>
    <w:rsid w:val="00475BED"/>
    <w:rsid w:val="00476819"/>
    <w:rsid w:val="00477D32"/>
    <w:rsid w:val="004859EA"/>
    <w:rsid w:val="00491CCE"/>
    <w:rsid w:val="004922ED"/>
    <w:rsid w:val="00492DEB"/>
    <w:rsid w:val="0049324A"/>
    <w:rsid w:val="00493304"/>
    <w:rsid w:val="00494086"/>
    <w:rsid w:val="004945E4"/>
    <w:rsid w:val="00494E22"/>
    <w:rsid w:val="004954EF"/>
    <w:rsid w:val="0049550D"/>
    <w:rsid w:val="00496694"/>
    <w:rsid w:val="0049712E"/>
    <w:rsid w:val="004A0F63"/>
    <w:rsid w:val="004A1DCB"/>
    <w:rsid w:val="004A1DD1"/>
    <w:rsid w:val="004A24D0"/>
    <w:rsid w:val="004A3661"/>
    <w:rsid w:val="004A3C2A"/>
    <w:rsid w:val="004A4E8C"/>
    <w:rsid w:val="004A5A0C"/>
    <w:rsid w:val="004B0186"/>
    <w:rsid w:val="004B1350"/>
    <w:rsid w:val="004B2E5A"/>
    <w:rsid w:val="004B4628"/>
    <w:rsid w:val="004B4ABF"/>
    <w:rsid w:val="004B50CD"/>
    <w:rsid w:val="004C07EC"/>
    <w:rsid w:val="004C2008"/>
    <w:rsid w:val="004C3F71"/>
    <w:rsid w:val="004C4B51"/>
    <w:rsid w:val="004C6F48"/>
    <w:rsid w:val="004C7855"/>
    <w:rsid w:val="004D1C63"/>
    <w:rsid w:val="004D2769"/>
    <w:rsid w:val="004D31EF"/>
    <w:rsid w:val="004D3BD6"/>
    <w:rsid w:val="004D43C7"/>
    <w:rsid w:val="004D4FA1"/>
    <w:rsid w:val="004D6015"/>
    <w:rsid w:val="004D7A03"/>
    <w:rsid w:val="004E0F69"/>
    <w:rsid w:val="004E148B"/>
    <w:rsid w:val="004E1C48"/>
    <w:rsid w:val="004E462C"/>
    <w:rsid w:val="004E4B0B"/>
    <w:rsid w:val="004F16FF"/>
    <w:rsid w:val="004F1780"/>
    <w:rsid w:val="004F242D"/>
    <w:rsid w:val="004F3D7C"/>
    <w:rsid w:val="004F6E81"/>
    <w:rsid w:val="0050068E"/>
    <w:rsid w:val="005048D0"/>
    <w:rsid w:val="005068E8"/>
    <w:rsid w:val="00507A0E"/>
    <w:rsid w:val="00510162"/>
    <w:rsid w:val="0051041F"/>
    <w:rsid w:val="00511D6E"/>
    <w:rsid w:val="005122ED"/>
    <w:rsid w:val="00512FA4"/>
    <w:rsid w:val="00513E29"/>
    <w:rsid w:val="00514630"/>
    <w:rsid w:val="0051689E"/>
    <w:rsid w:val="00523334"/>
    <w:rsid w:val="00523947"/>
    <w:rsid w:val="0052511E"/>
    <w:rsid w:val="005257DC"/>
    <w:rsid w:val="00530CED"/>
    <w:rsid w:val="00531350"/>
    <w:rsid w:val="00532A74"/>
    <w:rsid w:val="00533CD6"/>
    <w:rsid w:val="005347D5"/>
    <w:rsid w:val="0053797D"/>
    <w:rsid w:val="0054141E"/>
    <w:rsid w:val="0054486A"/>
    <w:rsid w:val="00551829"/>
    <w:rsid w:val="00552751"/>
    <w:rsid w:val="00553137"/>
    <w:rsid w:val="00554769"/>
    <w:rsid w:val="00557752"/>
    <w:rsid w:val="00567CE8"/>
    <w:rsid w:val="00567EC1"/>
    <w:rsid w:val="0057072D"/>
    <w:rsid w:val="00573757"/>
    <w:rsid w:val="005766F2"/>
    <w:rsid w:val="00576A25"/>
    <w:rsid w:val="00577DF5"/>
    <w:rsid w:val="005846D0"/>
    <w:rsid w:val="005854C2"/>
    <w:rsid w:val="005860F9"/>
    <w:rsid w:val="00586E44"/>
    <w:rsid w:val="00592F82"/>
    <w:rsid w:val="005946FD"/>
    <w:rsid w:val="005948BE"/>
    <w:rsid w:val="00594E3F"/>
    <w:rsid w:val="00595819"/>
    <w:rsid w:val="00595E9A"/>
    <w:rsid w:val="0059662B"/>
    <w:rsid w:val="005A246B"/>
    <w:rsid w:val="005B4D7E"/>
    <w:rsid w:val="005B5AAE"/>
    <w:rsid w:val="005C15B6"/>
    <w:rsid w:val="005C1E7A"/>
    <w:rsid w:val="005C2C38"/>
    <w:rsid w:val="005C3063"/>
    <w:rsid w:val="005C3BC7"/>
    <w:rsid w:val="005C3CD9"/>
    <w:rsid w:val="005C7162"/>
    <w:rsid w:val="005D2002"/>
    <w:rsid w:val="005D22BF"/>
    <w:rsid w:val="005D4404"/>
    <w:rsid w:val="005D5998"/>
    <w:rsid w:val="005D7F10"/>
    <w:rsid w:val="005E0276"/>
    <w:rsid w:val="005E0BBF"/>
    <w:rsid w:val="005E0CDB"/>
    <w:rsid w:val="005E1095"/>
    <w:rsid w:val="005E229F"/>
    <w:rsid w:val="005E26F4"/>
    <w:rsid w:val="005E4EB8"/>
    <w:rsid w:val="005E6219"/>
    <w:rsid w:val="005E62B0"/>
    <w:rsid w:val="005E6583"/>
    <w:rsid w:val="005E702A"/>
    <w:rsid w:val="005E7AA9"/>
    <w:rsid w:val="005F0F46"/>
    <w:rsid w:val="005F1FCA"/>
    <w:rsid w:val="005F33C9"/>
    <w:rsid w:val="005F6609"/>
    <w:rsid w:val="005F6783"/>
    <w:rsid w:val="005F78D7"/>
    <w:rsid w:val="005F7FBE"/>
    <w:rsid w:val="00600C4D"/>
    <w:rsid w:val="00601336"/>
    <w:rsid w:val="0060260D"/>
    <w:rsid w:val="00604F93"/>
    <w:rsid w:val="00610024"/>
    <w:rsid w:val="00611FF7"/>
    <w:rsid w:val="006127FA"/>
    <w:rsid w:val="006148D2"/>
    <w:rsid w:val="006155A8"/>
    <w:rsid w:val="006161AD"/>
    <w:rsid w:val="00620DE5"/>
    <w:rsid w:val="00621CB6"/>
    <w:rsid w:val="006230DA"/>
    <w:rsid w:val="00624A4C"/>
    <w:rsid w:val="00625300"/>
    <w:rsid w:val="0062716E"/>
    <w:rsid w:val="00627E14"/>
    <w:rsid w:val="00627EAC"/>
    <w:rsid w:val="00631B51"/>
    <w:rsid w:val="00634753"/>
    <w:rsid w:val="00634ADE"/>
    <w:rsid w:val="00637376"/>
    <w:rsid w:val="0064166E"/>
    <w:rsid w:val="0064304B"/>
    <w:rsid w:val="006442DE"/>
    <w:rsid w:val="00644BA5"/>
    <w:rsid w:val="00645F0D"/>
    <w:rsid w:val="00646F4E"/>
    <w:rsid w:val="006471C3"/>
    <w:rsid w:val="00647219"/>
    <w:rsid w:val="00651ABF"/>
    <w:rsid w:val="00652FC5"/>
    <w:rsid w:val="00654C8D"/>
    <w:rsid w:val="00655438"/>
    <w:rsid w:val="0065580D"/>
    <w:rsid w:val="00661C25"/>
    <w:rsid w:val="00664B84"/>
    <w:rsid w:val="00664C86"/>
    <w:rsid w:val="00667B8D"/>
    <w:rsid w:val="00671B56"/>
    <w:rsid w:val="00673135"/>
    <w:rsid w:val="0067457A"/>
    <w:rsid w:val="00674E15"/>
    <w:rsid w:val="00676502"/>
    <w:rsid w:val="00680569"/>
    <w:rsid w:val="006811D7"/>
    <w:rsid w:val="00681DB4"/>
    <w:rsid w:val="006867A1"/>
    <w:rsid w:val="00690E62"/>
    <w:rsid w:val="006911C4"/>
    <w:rsid w:val="00691778"/>
    <w:rsid w:val="0069187E"/>
    <w:rsid w:val="00692798"/>
    <w:rsid w:val="00697696"/>
    <w:rsid w:val="006A358E"/>
    <w:rsid w:val="006A468A"/>
    <w:rsid w:val="006A53D2"/>
    <w:rsid w:val="006A6911"/>
    <w:rsid w:val="006A7D5C"/>
    <w:rsid w:val="006B025A"/>
    <w:rsid w:val="006B1A11"/>
    <w:rsid w:val="006B6032"/>
    <w:rsid w:val="006B71C4"/>
    <w:rsid w:val="006BBBEF"/>
    <w:rsid w:val="006C02C8"/>
    <w:rsid w:val="006C06CF"/>
    <w:rsid w:val="006C0A14"/>
    <w:rsid w:val="006C336B"/>
    <w:rsid w:val="006C652C"/>
    <w:rsid w:val="006D0C9A"/>
    <w:rsid w:val="006D1073"/>
    <w:rsid w:val="006D340F"/>
    <w:rsid w:val="006D3AB5"/>
    <w:rsid w:val="006D5FD7"/>
    <w:rsid w:val="006E05DF"/>
    <w:rsid w:val="006E07F0"/>
    <w:rsid w:val="006E1808"/>
    <w:rsid w:val="006E20BA"/>
    <w:rsid w:val="006E36DC"/>
    <w:rsid w:val="006E3DF6"/>
    <w:rsid w:val="006E5B93"/>
    <w:rsid w:val="006E5F05"/>
    <w:rsid w:val="006E6CD1"/>
    <w:rsid w:val="006E7930"/>
    <w:rsid w:val="006F0C31"/>
    <w:rsid w:val="006F100F"/>
    <w:rsid w:val="006F244C"/>
    <w:rsid w:val="006F3E9E"/>
    <w:rsid w:val="006F5AA2"/>
    <w:rsid w:val="006F7B98"/>
    <w:rsid w:val="00701B02"/>
    <w:rsid w:val="00707268"/>
    <w:rsid w:val="007072FF"/>
    <w:rsid w:val="0071030D"/>
    <w:rsid w:val="00710A45"/>
    <w:rsid w:val="00714D60"/>
    <w:rsid w:val="00721BF0"/>
    <w:rsid w:val="00721C74"/>
    <w:rsid w:val="0072526B"/>
    <w:rsid w:val="00726043"/>
    <w:rsid w:val="00727539"/>
    <w:rsid w:val="00727C2C"/>
    <w:rsid w:val="00730BD6"/>
    <w:rsid w:val="007314CB"/>
    <w:rsid w:val="00733985"/>
    <w:rsid w:val="007340D6"/>
    <w:rsid w:val="007351C5"/>
    <w:rsid w:val="007355EF"/>
    <w:rsid w:val="007358D9"/>
    <w:rsid w:val="00736F13"/>
    <w:rsid w:val="00737C5C"/>
    <w:rsid w:val="00741420"/>
    <w:rsid w:val="00741A59"/>
    <w:rsid w:val="007426B3"/>
    <w:rsid w:val="0074659B"/>
    <w:rsid w:val="00747AB8"/>
    <w:rsid w:val="00752E60"/>
    <w:rsid w:val="0075450A"/>
    <w:rsid w:val="007545BA"/>
    <w:rsid w:val="00755ABD"/>
    <w:rsid w:val="00756D53"/>
    <w:rsid w:val="00756FF7"/>
    <w:rsid w:val="00762A8E"/>
    <w:rsid w:val="00766738"/>
    <w:rsid w:val="00767188"/>
    <w:rsid w:val="007675AB"/>
    <w:rsid w:val="00772F8B"/>
    <w:rsid w:val="00774267"/>
    <w:rsid w:val="0078521A"/>
    <w:rsid w:val="00785F14"/>
    <w:rsid w:val="00794321"/>
    <w:rsid w:val="007A106D"/>
    <w:rsid w:val="007A56A1"/>
    <w:rsid w:val="007A5F41"/>
    <w:rsid w:val="007A7150"/>
    <w:rsid w:val="007B3D55"/>
    <w:rsid w:val="007B491C"/>
    <w:rsid w:val="007B5467"/>
    <w:rsid w:val="007B5D20"/>
    <w:rsid w:val="007B72E2"/>
    <w:rsid w:val="007C468B"/>
    <w:rsid w:val="007C6CCD"/>
    <w:rsid w:val="007D16A5"/>
    <w:rsid w:val="007D2026"/>
    <w:rsid w:val="007D5FA3"/>
    <w:rsid w:val="007D60D8"/>
    <w:rsid w:val="007E0DB0"/>
    <w:rsid w:val="007E356F"/>
    <w:rsid w:val="007E652A"/>
    <w:rsid w:val="007E6FC6"/>
    <w:rsid w:val="007E72AB"/>
    <w:rsid w:val="007F4288"/>
    <w:rsid w:val="0080095B"/>
    <w:rsid w:val="00801076"/>
    <w:rsid w:val="008019A7"/>
    <w:rsid w:val="008021AC"/>
    <w:rsid w:val="00803096"/>
    <w:rsid w:val="00803FE4"/>
    <w:rsid w:val="008042FB"/>
    <w:rsid w:val="00805DEF"/>
    <w:rsid w:val="00806195"/>
    <w:rsid w:val="0080799B"/>
    <w:rsid w:val="0081002C"/>
    <w:rsid w:val="00812608"/>
    <w:rsid w:val="00812E01"/>
    <w:rsid w:val="00814173"/>
    <w:rsid w:val="00817927"/>
    <w:rsid w:val="0082038D"/>
    <w:rsid w:val="00820B88"/>
    <w:rsid w:val="00823539"/>
    <w:rsid w:val="0082370F"/>
    <w:rsid w:val="008243CC"/>
    <w:rsid w:val="008250FB"/>
    <w:rsid w:val="00825C15"/>
    <w:rsid w:val="00830D2D"/>
    <w:rsid w:val="00831C63"/>
    <w:rsid w:val="008326A5"/>
    <w:rsid w:val="00834A30"/>
    <w:rsid w:val="008362D3"/>
    <w:rsid w:val="00837044"/>
    <w:rsid w:val="00837B20"/>
    <w:rsid w:val="008402BC"/>
    <w:rsid w:val="00842162"/>
    <w:rsid w:val="0084264F"/>
    <w:rsid w:val="0084697B"/>
    <w:rsid w:val="00850AA7"/>
    <w:rsid w:val="00851C27"/>
    <w:rsid w:val="008557EA"/>
    <w:rsid w:val="00855AB7"/>
    <w:rsid w:val="0085706A"/>
    <w:rsid w:val="0086133C"/>
    <w:rsid w:val="00861929"/>
    <w:rsid w:val="00861F31"/>
    <w:rsid w:val="0086343B"/>
    <w:rsid w:val="008650FF"/>
    <w:rsid w:val="00865325"/>
    <w:rsid w:val="00865E18"/>
    <w:rsid w:val="008660D4"/>
    <w:rsid w:val="00866A47"/>
    <w:rsid w:val="00871DC7"/>
    <w:rsid w:val="008723A4"/>
    <w:rsid w:val="00873942"/>
    <w:rsid w:val="00873F40"/>
    <w:rsid w:val="00874060"/>
    <w:rsid w:val="0087796E"/>
    <w:rsid w:val="008805E1"/>
    <w:rsid w:val="00880DA7"/>
    <w:rsid w:val="00881D06"/>
    <w:rsid w:val="008820B8"/>
    <w:rsid w:val="00882AC8"/>
    <w:rsid w:val="008836E8"/>
    <w:rsid w:val="00886653"/>
    <w:rsid w:val="008916E1"/>
    <w:rsid w:val="00891D8D"/>
    <w:rsid w:val="00893CDC"/>
    <w:rsid w:val="00895E71"/>
    <w:rsid w:val="00896B78"/>
    <w:rsid w:val="0089747F"/>
    <w:rsid w:val="008A1B8D"/>
    <w:rsid w:val="008A6674"/>
    <w:rsid w:val="008A6A7A"/>
    <w:rsid w:val="008A773F"/>
    <w:rsid w:val="008B0BD2"/>
    <w:rsid w:val="008B1A5B"/>
    <w:rsid w:val="008B3013"/>
    <w:rsid w:val="008B46C8"/>
    <w:rsid w:val="008B4FF8"/>
    <w:rsid w:val="008B604D"/>
    <w:rsid w:val="008B61E4"/>
    <w:rsid w:val="008B66CE"/>
    <w:rsid w:val="008B682C"/>
    <w:rsid w:val="008B7477"/>
    <w:rsid w:val="008C0E5E"/>
    <w:rsid w:val="008C272B"/>
    <w:rsid w:val="008C2A18"/>
    <w:rsid w:val="008C32AA"/>
    <w:rsid w:val="008C3C79"/>
    <w:rsid w:val="008C411D"/>
    <w:rsid w:val="008C68DE"/>
    <w:rsid w:val="008C7BDE"/>
    <w:rsid w:val="008C7E6A"/>
    <w:rsid w:val="008D0A3C"/>
    <w:rsid w:val="008D1767"/>
    <w:rsid w:val="008D179A"/>
    <w:rsid w:val="008D2E25"/>
    <w:rsid w:val="008D353F"/>
    <w:rsid w:val="008D46BD"/>
    <w:rsid w:val="008D5D13"/>
    <w:rsid w:val="008E006D"/>
    <w:rsid w:val="008E0591"/>
    <w:rsid w:val="008E1565"/>
    <w:rsid w:val="008E1FB5"/>
    <w:rsid w:val="008E2607"/>
    <w:rsid w:val="008E28C1"/>
    <w:rsid w:val="008E2B77"/>
    <w:rsid w:val="008E3216"/>
    <w:rsid w:val="008E3D25"/>
    <w:rsid w:val="008E48AF"/>
    <w:rsid w:val="008E6AF9"/>
    <w:rsid w:val="008F0DE2"/>
    <w:rsid w:val="008F19D9"/>
    <w:rsid w:val="008F2943"/>
    <w:rsid w:val="008F2E49"/>
    <w:rsid w:val="008F3222"/>
    <w:rsid w:val="008F3257"/>
    <w:rsid w:val="008F4EC4"/>
    <w:rsid w:val="00900CB8"/>
    <w:rsid w:val="00900D4F"/>
    <w:rsid w:val="00904867"/>
    <w:rsid w:val="0090516E"/>
    <w:rsid w:val="009069FE"/>
    <w:rsid w:val="00906CB2"/>
    <w:rsid w:val="009071C9"/>
    <w:rsid w:val="00910F53"/>
    <w:rsid w:val="009122AA"/>
    <w:rsid w:val="0091253A"/>
    <w:rsid w:val="00913B8F"/>
    <w:rsid w:val="00915086"/>
    <w:rsid w:val="00916E92"/>
    <w:rsid w:val="00921341"/>
    <w:rsid w:val="00921734"/>
    <w:rsid w:val="009248CB"/>
    <w:rsid w:val="00927516"/>
    <w:rsid w:val="009278AE"/>
    <w:rsid w:val="00930D47"/>
    <w:rsid w:val="00931F02"/>
    <w:rsid w:val="00934B28"/>
    <w:rsid w:val="00934BDF"/>
    <w:rsid w:val="0093581A"/>
    <w:rsid w:val="009411C8"/>
    <w:rsid w:val="009421FD"/>
    <w:rsid w:val="00943028"/>
    <w:rsid w:val="009451C3"/>
    <w:rsid w:val="00951F25"/>
    <w:rsid w:val="00957625"/>
    <w:rsid w:val="009603AB"/>
    <w:rsid w:val="00961F3A"/>
    <w:rsid w:val="00963811"/>
    <w:rsid w:val="00965BBD"/>
    <w:rsid w:val="00966312"/>
    <w:rsid w:val="0096755C"/>
    <w:rsid w:val="00973295"/>
    <w:rsid w:val="009737FE"/>
    <w:rsid w:val="00974BFC"/>
    <w:rsid w:val="00975710"/>
    <w:rsid w:val="009760A2"/>
    <w:rsid w:val="0097F45F"/>
    <w:rsid w:val="009817A9"/>
    <w:rsid w:val="00981821"/>
    <w:rsid w:val="00982141"/>
    <w:rsid w:val="009854BA"/>
    <w:rsid w:val="0098676A"/>
    <w:rsid w:val="00986E48"/>
    <w:rsid w:val="009906F5"/>
    <w:rsid w:val="00990FC6"/>
    <w:rsid w:val="00991537"/>
    <w:rsid w:val="00991717"/>
    <w:rsid w:val="0099173E"/>
    <w:rsid w:val="00991FB4"/>
    <w:rsid w:val="00992F40"/>
    <w:rsid w:val="009932F3"/>
    <w:rsid w:val="00997972"/>
    <w:rsid w:val="009A14D0"/>
    <w:rsid w:val="009A4757"/>
    <w:rsid w:val="009A5C69"/>
    <w:rsid w:val="009B0E6D"/>
    <w:rsid w:val="009B1339"/>
    <w:rsid w:val="009B2EBC"/>
    <w:rsid w:val="009B3716"/>
    <w:rsid w:val="009B3FCC"/>
    <w:rsid w:val="009B582E"/>
    <w:rsid w:val="009C302E"/>
    <w:rsid w:val="009C5DD0"/>
    <w:rsid w:val="009C68C8"/>
    <w:rsid w:val="009D0112"/>
    <w:rsid w:val="009D1061"/>
    <w:rsid w:val="009D2E3E"/>
    <w:rsid w:val="009D76ED"/>
    <w:rsid w:val="009E1F4D"/>
    <w:rsid w:val="009E3576"/>
    <w:rsid w:val="009E5D29"/>
    <w:rsid w:val="009F2DB8"/>
    <w:rsid w:val="009F2F95"/>
    <w:rsid w:val="009F5BB9"/>
    <w:rsid w:val="00A00E97"/>
    <w:rsid w:val="00A01433"/>
    <w:rsid w:val="00A02EA5"/>
    <w:rsid w:val="00A047D8"/>
    <w:rsid w:val="00A062B0"/>
    <w:rsid w:val="00A070E2"/>
    <w:rsid w:val="00A10A7B"/>
    <w:rsid w:val="00A10B11"/>
    <w:rsid w:val="00A10FEA"/>
    <w:rsid w:val="00A14290"/>
    <w:rsid w:val="00A17114"/>
    <w:rsid w:val="00A1786C"/>
    <w:rsid w:val="00A21052"/>
    <w:rsid w:val="00A2204D"/>
    <w:rsid w:val="00A23FE2"/>
    <w:rsid w:val="00A24596"/>
    <w:rsid w:val="00A24DC8"/>
    <w:rsid w:val="00A259CD"/>
    <w:rsid w:val="00A25DC9"/>
    <w:rsid w:val="00A269F0"/>
    <w:rsid w:val="00A302AA"/>
    <w:rsid w:val="00A306C1"/>
    <w:rsid w:val="00A33A70"/>
    <w:rsid w:val="00A33D2F"/>
    <w:rsid w:val="00A34BA1"/>
    <w:rsid w:val="00A36BC8"/>
    <w:rsid w:val="00A4408A"/>
    <w:rsid w:val="00A441F1"/>
    <w:rsid w:val="00A463A2"/>
    <w:rsid w:val="00A47E5C"/>
    <w:rsid w:val="00A47FDE"/>
    <w:rsid w:val="00A51EFD"/>
    <w:rsid w:val="00A57060"/>
    <w:rsid w:val="00A603E1"/>
    <w:rsid w:val="00A60C50"/>
    <w:rsid w:val="00A61AFA"/>
    <w:rsid w:val="00A61BCE"/>
    <w:rsid w:val="00A63F3B"/>
    <w:rsid w:val="00A675A7"/>
    <w:rsid w:val="00A67738"/>
    <w:rsid w:val="00A7045C"/>
    <w:rsid w:val="00A7088A"/>
    <w:rsid w:val="00A71559"/>
    <w:rsid w:val="00A71F64"/>
    <w:rsid w:val="00A74D92"/>
    <w:rsid w:val="00A75E39"/>
    <w:rsid w:val="00A80CE6"/>
    <w:rsid w:val="00A837DF"/>
    <w:rsid w:val="00A844AD"/>
    <w:rsid w:val="00A85F4D"/>
    <w:rsid w:val="00A8720F"/>
    <w:rsid w:val="00A92FDC"/>
    <w:rsid w:val="00A94444"/>
    <w:rsid w:val="00A96523"/>
    <w:rsid w:val="00A968C0"/>
    <w:rsid w:val="00A9768F"/>
    <w:rsid w:val="00AA5610"/>
    <w:rsid w:val="00AA7F17"/>
    <w:rsid w:val="00AB115D"/>
    <w:rsid w:val="00AB163A"/>
    <w:rsid w:val="00AB4931"/>
    <w:rsid w:val="00AB7261"/>
    <w:rsid w:val="00AB73E1"/>
    <w:rsid w:val="00AC03E2"/>
    <w:rsid w:val="00AC0D40"/>
    <w:rsid w:val="00AC22AF"/>
    <w:rsid w:val="00AC38EA"/>
    <w:rsid w:val="00AC5522"/>
    <w:rsid w:val="00AC6C91"/>
    <w:rsid w:val="00AC75FF"/>
    <w:rsid w:val="00AD02E2"/>
    <w:rsid w:val="00AD2334"/>
    <w:rsid w:val="00AD53DD"/>
    <w:rsid w:val="00AD6C43"/>
    <w:rsid w:val="00AE082D"/>
    <w:rsid w:val="00AE10BC"/>
    <w:rsid w:val="00AE2936"/>
    <w:rsid w:val="00AE426E"/>
    <w:rsid w:val="00AE760A"/>
    <w:rsid w:val="00AE7645"/>
    <w:rsid w:val="00AF2236"/>
    <w:rsid w:val="00AF2E33"/>
    <w:rsid w:val="00AF2F01"/>
    <w:rsid w:val="00AF5D71"/>
    <w:rsid w:val="00AF6166"/>
    <w:rsid w:val="00B02A0D"/>
    <w:rsid w:val="00B02D61"/>
    <w:rsid w:val="00B032AF"/>
    <w:rsid w:val="00B0516C"/>
    <w:rsid w:val="00B0679F"/>
    <w:rsid w:val="00B06F5E"/>
    <w:rsid w:val="00B116A2"/>
    <w:rsid w:val="00B11D89"/>
    <w:rsid w:val="00B11E48"/>
    <w:rsid w:val="00B129CE"/>
    <w:rsid w:val="00B12FE7"/>
    <w:rsid w:val="00B14348"/>
    <w:rsid w:val="00B15756"/>
    <w:rsid w:val="00B21E9C"/>
    <w:rsid w:val="00B23B57"/>
    <w:rsid w:val="00B2548D"/>
    <w:rsid w:val="00B25AE9"/>
    <w:rsid w:val="00B27C18"/>
    <w:rsid w:val="00B27E3A"/>
    <w:rsid w:val="00B27FAD"/>
    <w:rsid w:val="00B30370"/>
    <w:rsid w:val="00B30CED"/>
    <w:rsid w:val="00B310F7"/>
    <w:rsid w:val="00B37A55"/>
    <w:rsid w:val="00B40608"/>
    <w:rsid w:val="00B41693"/>
    <w:rsid w:val="00B420B8"/>
    <w:rsid w:val="00B425EB"/>
    <w:rsid w:val="00B43146"/>
    <w:rsid w:val="00B44CD0"/>
    <w:rsid w:val="00B45B7F"/>
    <w:rsid w:val="00B51722"/>
    <w:rsid w:val="00B51ED5"/>
    <w:rsid w:val="00B52EC4"/>
    <w:rsid w:val="00B5394B"/>
    <w:rsid w:val="00B58B2B"/>
    <w:rsid w:val="00B60A7F"/>
    <w:rsid w:val="00B60B25"/>
    <w:rsid w:val="00B61C74"/>
    <w:rsid w:val="00B61CBF"/>
    <w:rsid w:val="00B63C69"/>
    <w:rsid w:val="00B63D01"/>
    <w:rsid w:val="00B649E9"/>
    <w:rsid w:val="00B75B96"/>
    <w:rsid w:val="00B75C9F"/>
    <w:rsid w:val="00B76239"/>
    <w:rsid w:val="00B80F77"/>
    <w:rsid w:val="00B82149"/>
    <w:rsid w:val="00B85EFB"/>
    <w:rsid w:val="00B87640"/>
    <w:rsid w:val="00B91753"/>
    <w:rsid w:val="00B928EC"/>
    <w:rsid w:val="00B942DB"/>
    <w:rsid w:val="00B957A7"/>
    <w:rsid w:val="00B95B29"/>
    <w:rsid w:val="00B96148"/>
    <w:rsid w:val="00B975D8"/>
    <w:rsid w:val="00B97EF9"/>
    <w:rsid w:val="00BB1D1C"/>
    <w:rsid w:val="00BB29E2"/>
    <w:rsid w:val="00BB45BC"/>
    <w:rsid w:val="00BB6F03"/>
    <w:rsid w:val="00BC0BFB"/>
    <w:rsid w:val="00BC1803"/>
    <w:rsid w:val="00BC1F7E"/>
    <w:rsid w:val="00BC373D"/>
    <w:rsid w:val="00BC38F7"/>
    <w:rsid w:val="00BC59D1"/>
    <w:rsid w:val="00BC6691"/>
    <w:rsid w:val="00BD02B6"/>
    <w:rsid w:val="00BD058B"/>
    <w:rsid w:val="00BD1126"/>
    <w:rsid w:val="00BD12AF"/>
    <w:rsid w:val="00BD234C"/>
    <w:rsid w:val="00BD57D2"/>
    <w:rsid w:val="00BD5DCB"/>
    <w:rsid w:val="00BE44F9"/>
    <w:rsid w:val="00BF106A"/>
    <w:rsid w:val="00BF190A"/>
    <w:rsid w:val="00BF228F"/>
    <w:rsid w:val="00BF4225"/>
    <w:rsid w:val="00C048C1"/>
    <w:rsid w:val="00C04A6D"/>
    <w:rsid w:val="00C05A76"/>
    <w:rsid w:val="00C05BAC"/>
    <w:rsid w:val="00C060FA"/>
    <w:rsid w:val="00C06655"/>
    <w:rsid w:val="00C07B5E"/>
    <w:rsid w:val="00C12D55"/>
    <w:rsid w:val="00C165BB"/>
    <w:rsid w:val="00C175DE"/>
    <w:rsid w:val="00C17D16"/>
    <w:rsid w:val="00C225ED"/>
    <w:rsid w:val="00C243A6"/>
    <w:rsid w:val="00C24C67"/>
    <w:rsid w:val="00C25319"/>
    <w:rsid w:val="00C259FA"/>
    <w:rsid w:val="00C25B8B"/>
    <w:rsid w:val="00C25F47"/>
    <w:rsid w:val="00C264E5"/>
    <w:rsid w:val="00C26F4B"/>
    <w:rsid w:val="00C27FF9"/>
    <w:rsid w:val="00C31074"/>
    <w:rsid w:val="00C338E4"/>
    <w:rsid w:val="00C36185"/>
    <w:rsid w:val="00C36CC3"/>
    <w:rsid w:val="00C378F6"/>
    <w:rsid w:val="00C409F6"/>
    <w:rsid w:val="00C40B05"/>
    <w:rsid w:val="00C40D63"/>
    <w:rsid w:val="00C426F6"/>
    <w:rsid w:val="00C45342"/>
    <w:rsid w:val="00C4775C"/>
    <w:rsid w:val="00C52ACF"/>
    <w:rsid w:val="00C545BD"/>
    <w:rsid w:val="00C55561"/>
    <w:rsid w:val="00C55C78"/>
    <w:rsid w:val="00C55DC0"/>
    <w:rsid w:val="00C610EA"/>
    <w:rsid w:val="00C61CC2"/>
    <w:rsid w:val="00C61FF7"/>
    <w:rsid w:val="00C62573"/>
    <w:rsid w:val="00C636A2"/>
    <w:rsid w:val="00C63EFA"/>
    <w:rsid w:val="00C64820"/>
    <w:rsid w:val="00C653C1"/>
    <w:rsid w:val="00C66B06"/>
    <w:rsid w:val="00C70FD2"/>
    <w:rsid w:val="00C729B8"/>
    <w:rsid w:val="00C73EFB"/>
    <w:rsid w:val="00C7420E"/>
    <w:rsid w:val="00C821E7"/>
    <w:rsid w:val="00C828F8"/>
    <w:rsid w:val="00C95C15"/>
    <w:rsid w:val="00C96BED"/>
    <w:rsid w:val="00CA0BCF"/>
    <w:rsid w:val="00CA3F96"/>
    <w:rsid w:val="00CA4CC0"/>
    <w:rsid w:val="00CA5122"/>
    <w:rsid w:val="00CA7F86"/>
    <w:rsid w:val="00CB0DED"/>
    <w:rsid w:val="00CB0EE1"/>
    <w:rsid w:val="00CB1A52"/>
    <w:rsid w:val="00CB1F76"/>
    <w:rsid w:val="00CB73EA"/>
    <w:rsid w:val="00CC15AA"/>
    <w:rsid w:val="00CC287B"/>
    <w:rsid w:val="00CC4FBE"/>
    <w:rsid w:val="00CD01E6"/>
    <w:rsid w:val="00CD0654"/>
    <w:rsid w:val="00CD140A"/>
    <w:rsid w:val="00CD26F3"/>
    <w:rsid w:val="00CD322D"/>
    <w:rsid w:val="00CD3959"/>
    <w:rsid w:val="00CD5197"/>
    <w:rsid w:val="00CE04A9"/>
    <w:rsid w:val="00CE1263"/>
    <w:rsid w:val="00CE5E83"/>
    <w:rsid w:val="00CE646A"/>
    <w:rsid w:val="00CE6D3F"/>
    <w:rsid w:val="00CF0115"/>
    <w:rsid w:val="00CF1757"/>
    <w:rsid w:val="00CF1AD9"/>
    <w:rsid w:val="00CF1F7D"/>
    <w:rsid w:val="00CF319B"/>
    <w:rsid w:val="00CF43EC"/>
    <w:rsid w:val="00CF6D8D"/>
    <w:rsid w:val="00D03F3B"/>
    <w:rsid w:val="00D043AE"/>
    <w:rsid w:val="00D0616A"/>
    <w:rsid w:val="00D06E43"/>
    <w:rsid w:val="00D11596"/>
    <w:rsid w:val="00D138B3"/>
    <w:rsid w:val="00D14475"/>
    <w:rsid w:val="00D14DDD"/>
    <w:rsid w:val="00D17775"/>
    <w:rsid w:val="00D17F82"/>
    <w:rsid w:val="00D20538"/>
    <w:rsid w:val="00D20ADF"/>
    <w:rsid w:val="00D217DA"/>
    <w:rsid w:val="00D2295D"/>
    <w:rsid w:val="00D23FAC"/>
    <w:rsid w:val="00D253DB"/>
    <w:rsid w:val="00D253FD"/>
    <w:rsid w:val="00D255B5"/>
    <w:rsid w:val="00D26FC8"/>
    <w:rsid w:val="00D276C7"/>
    <w:rsid w:val="00D30158"/>
    <w:rsid w:val="00D317DC"/>
    <w:rsid w:val="00D334CD"/>
    <w:rsid w:val="00D33512"/>
    <w:rsid w:val="00D3451D"/>
    <w:rsid w:val="00D35D90"/>
    <w:rsid w:val="00D4058A"/>
    <w:rsid w:val="00D40631"/>
    <w:rsid w:val="00D423DE"/>
    <w:rsid w:val="00D42696"/>
    <w:rsid w:val="00D42E12"/>
    <w:rsid w:val="00D439F4"/>
    <w:rsid w:val="00D441DF"/>
    <w:rsid w:val="00D44EC9"/>
    <w:rsid w:val="00D44F64"/>
    <w:rsid w:val="00D50828"/>
    <w:rsid w:val="00D51B60"/>
    <w:rsid w:val="00D51F33"/>
    <w:rsid w:val="00D526DF"/>
    <w:rsid w:val="00D528FC"/>
    <w:rsid w:val="00D54409"/>
    <w:rsid w:val="00D54DB0"/>
    <w:rsid w:val="00D57799"/>
    <w:rsid w:val="00D61413"/>
    <w:rsid w:val="00D64A00"/>
    <w:rsid w:val="00D65D46"/>
    <w:rsid w:val="00D65D96"/>
    <w:rsid w:val="00D66652"/>
    <w:rsid w:val="00D676AE"/>
    <w:rsid w:val="00D7255F"/>
    <w:rsid w:val="00D77B7A"/>
    <w:rsid w:val="00D80F3F"/>
    <w:rsid w:val="00D83DC3"/>
    <w:rsid w:val="00D846CC"/>
    <w:rsid w:val="00D84CDE"/>
    <w:rsid w:val="00D86767"/>
    <w:rsid w:val="00D91387"/>
    <w:rsid w:val="00D915FF"/>
    <w:rsid w:val="00D92FC0"/>
    <w:rsid w:val="00D94341"/>
    <w:rsid w:val="00D949C5"/>
    <w:rsid w:val="00D97C33"/>
    <w:rsid w:val="00DA4C20"/>
    <w:rsid w:val="00DA5128"/>
    <w:rsid w:val="00DA72B8"/>
    <w:rsid w:val="00DB3506"/>
    <w:rsid w:val="00DC2A90"/>
    <w:rsid w:val="00DC479F"/>
    <w:rsid w:val="00DC610B"/>
    <w:rsid w:val="00DC649C"/>
    <w:rsid w:val="00DC65F0"/>
    <w:rsid w:val="00DC6662"/>
    <w:rsid w:val="00DC6B90"/>
    <w:rsid w:val="00DC6E23"/>
    <w:rsid w:val="00DD15E4"/>
    <w:rsid w:val="00DD24E6"/>
    <w:rsid w:val="00DD32DC"/>
    <w:rsid w:val="00DD57AA"/>
    <w:rsid w:val="00DD7AC4"/>
    <w:rsid w:val="00DD7E07"/>
    <w:rsid w:val="00DE032F"/>
    <w:rsid w:val="00DE0B5C"/>
    <w:rsid w:val="00DF5E81"/>
    <w:rsid w:val="00DF6665"/>
    <w:rsid w:val="00DF7606"/>
    <w:rsid w:val="00E01E7E"/>
    <w:rsid w:val="00E03150"/>
    <w:rsid w:val="00E03CB3"/>
    <w:rsid w:val="00E04ACC"/>
    <w:rsid w:val="00E05CD7"/>
    <w:rsid w:val="00E0624B"/>
    <w:rsid w:val="00E0628A"/>
    <w:rsid w:val="00E068ED"/>
    <w:rsid w:val="00E10141"/>
    <w:rsid w:val="00E1253C"/>
    <w:rsid w:val="00E13F3E"/>
    <w:rsid w:val="00E150C5"/>
    <w:rsid w:val="00E161C0"/>
    <w:rsid w:val="00E20BAA"/>
    <w:rsid w:val="00E20C21"/>
    <w:rsid w:val="00E21902"/>
    <w:rsid w:val="00E22421"/>
    <w:rsid w:val="00E3296F"/>
    <w:rsid w:val="00E32D74"/>
    <w:rsid w:val="00E35A37"/>
    <w:rsid w:val="00E35B42"/>
    <w:rsid w:val="00E35CFE"/>
    <w:rsid w:val="00E42FC6"/>
    <w:rsid w:val="00E460D0"/>
    <w:rsid w:val="00E46B45"/>
    <w:rsid w:val="00E473D1"/>
    <w:rsid w:val="00E478B6"/>
    <w:rsid w:val="00E50196"/>
    <w:rsid w:val="00E5075A"/>
    <w:rsid w:val="00E51679"/>
    <w:rsid w:val="00E540FA"/>
    <w:rsid w:val="00E55728"/>
    <w:rsid w:val="00E57A50"/>
    <w:rsid w:val="00E610F3"/>
    <w:rsid w:val="00E61747"/>
    <w:rsid w:val="00E6276A"/>
    <w:rsid w:val="00E65AE9"/>
    <w:rsid w:val="00E67792"/>
    <w:rsid w:val="00E70FD9"/>
    <w:rsid w:val="00E71861"/>
    <w:rsid w:val="00E72292"/>
    <w:rsid w:val="00E72C74"/>
    <w:rsid w:val="00E73193"/>
    <w:rsid w:val="00E74F06"/>
    <w:rsid w:val="00E7669C"/>
    <w:rsid w:val="00E77C70"/>
    <w:rsid w:val="00E82BD2"/>
    <w:rsid w:val="00E834D8"/>
    <w:rsid w:val="00E84819"/>
    <w:rsid w:val="00E84B87"/>
    <w:rsid w:val="00E84C16"/>
    <w:rsid w:val="00E84E92"/>
    <w:rsid w:val="00E85FD5"/>
    <w:rsid w:val="00E87038"/>
    <w:rsid w:val="00E90C39"/>
    <w:rsid w:val="00E924DA"/>
    <w:rsid w:val="00E93927"/>
    <w:rsid w:val="00E9576A"/>
    <w:rsid w:val="00E95A4C"/>
    <w:rsid w:val="00EA0E6E"/>
    <w:rsid w:val="00EA1850"/>
    <w:rsid w:val="00EA2405"/>
    <w:rsid w:val="00EA2852"/>
    <w:rsid w:val="00EA3DCD"/>
    <w:rsid w:val="00EA5B4B"/>
    <w:rsid w:val="00EA6B7C"/>
    <w:rsid w:val="00EA72B4"/>
    <w:rsid w:val="00EA7981"/>
    <w:rsid w:val="00EA7BD5"/>
    <w:rsid w:val="00EB08CC"/>
    <w:rsid w:val="00EB3CA6"/>
    <w:rsid w:val="00EB42AD"/>
    <w:rsid w:val="00EB50F8"/>
    <w:rsid w:val="00EB5547"/>
    <w:rsid w:val="00EB5DAA"/>
    <w:rsid w:val="00EC0C54"/>
    <w:rsid w:val="00EC2AB6"/>
    <w:rsid w:val="00ED486D"/>
    <w:rsid w:val="00ED5F84"/>
    <w:rsid w:val="00ED7C31"/>
    <w:rsid w:val="00EE244E"/>
    <w:rsid w:val="00EE4730"/>
    <w:rsid w:val="00EF01C8"/>
    <w:rsid w:val="00EF118F"/>
    <w:rsid w:val="00EF1C53"/>
    <w:rsid w:val="00EF26F7"/>
    <w:rsid w:val="00EF32EF"/>
    <w:rsid w:val="00EF4579"/>
    <w:rsid w:val="00F00C01"/>
    <w:rsid w:val="00F0144D"/>
    <w:rsid w:val="00F024E1"/>
    <w:rsid w:val="00F0414D"/>
    <w:rsid w:val="00F042B0"/>
    <w:rsid w:val="00F04306"/>
    <w:rsid w:val="00F05F26"/>
    <w:rsid w:val="00F07000"/>
    <w:rsid w:val="00F1120E"/>
    <w:rsid w:val="00F114A7"/>
    <w:rsid w:val="00F16A3F"/>
    <w:rsid w:val="00F16CCA"/>
    <w:rsid w:val="00F175E4"/>
    <w:rsid w:val="00F20BE2"/>
    <w:rsid w:val="00F20EC2"/>
    <w:rsid w:val="00F22AD2"/>
    <w:rsid w:val="00F24057"/>
    <w:rsid w:val="00F24102"/>
    <w:rsid w:val="00F26CD1"/>
    <w:rsid w:val="00F271DC"/>
    <w:rsid w:val="00F3077C"/>
    <w:rsid w:val="00F3118E"/>
    <w:rsid w:val="00F31DA6"/>
    <w:rsid w:val="00F31DE5"/>
    <w:rsid w:val="00F36950"/>
    <w:rsid w:val="00F40CCB"/>
    <w:rsid w:val="00F41690"/>
    <w:rsid w:val="00F43C01"/>
    <w:rsid w:val="00F44FA9"/>
    <w:rsid w:val="00F4512D"/>
    <w:rsid w:val="00F46215"/>
    <w:rsid w:val="00F476BE"/>
    <w:rsid w:val="00F51ED9"/>
    <w:rsid w:val="00F5272F"/>
    <w:rsid w:val="00F54052"/>
    <w:rsid w:val="00F5603B"/>
    <w:rsid w:val="00F56122"/>
    <w:rsid w:val="00F571B4"/>
    <w:rsid w:val="00F629BB"/>
    <w:rsid w:val="00F62B31"/>
    <w:rsid w:val="00F64B59"/>
    <w:rsid w:val="00F65CC1"/>
    <w:rsid w:val="00F70A66"/>
    <w:rsid w:val="00F7227F"/>
    <w:rsid w:val="00F734CB"/>
    <w:rsid w:val="00F74467"/>
    <w:rsid w:val="00F8167B"/>
    <w:rsid w:val="00F82A2C"/>
    <w:rsid w:val="00F84886"/>
    <w:rsid w:val="00F84D42"/>
    <w:rsid w:val="00F909D0"/>
    <w:rsid w:val="00F929C3"/>
    <w:rsid w:val="00F931DA"/>
    <w:rsid w:val="00F967BE"/>
    <w:rsid w:val="00F9729D"/>
    <w:rsid w:val="00FA1EF0"/>
    <w:rsid w:val="00FA32F3"/>
    <w:rsid w:val="00FA3D28"/>
    <w:rsid w:val="00FA5AA2"/>
    <w:rsid w:val="00FA73E2"/>
    <w:rsid w:val="00FA73E5"/>
    <w:rsid w:val="00FB35B7"/>
    <w:rsid w:val="00FB3ABC"/>
    <w:rsid w:val="00FB4E2C"/>
    <w:rsid w:val="00FB528E"/>
    <w:rsid w:val="00FB6118"/>
    <w:rsid w:val="00FB6BA2"/>
    <w:rsid w:val="00FB7A41"/>
    <w:rsid w:val="00FC2D7D"/>
    <w:rsid w:val="00FC43E0"/>
    <w:rsid w:val="00FC5C8E"/>
    <w:rsid w:val="00FC6F4F"/>
    <w:rsid w:val="00FC7B5D"/>
    <w:rsid w:val="00FD06E1"/>
    <w:rsid w:val="00FD0CBC"/>
    <w:rsid w:val="00FD1453"/>
    <w:rsid w:val="00FD26C9"/>
    <w:rsid w:val="00FD34A5"/>
    <w:rsid w:val="00FD3600"/>
    <w:rsid w:val="00FD4D12"/>
    <w:rsid w:val="00FD4F47"/>
    <w:rsid w:val="00FD5199"/>
    <w:rsid w:val="00FD66B3"/>
    <w:rsid w:val="00FD73E6"/>
    <w:rsid w:val="00FD79C6"/>
    <w:rsid w:val="00FE1836"/>
    <w:rsid w:val="00FE31BE"/>
    <w:rsid w:val="00FE7DC7"/>
    <w:rsid w:val="00FF1D24"/>
    <w:rsid w:val="00FF232A"/>
    <w:rsid w:val="00FF2518"/>
    <w:rsid w:val="00FF3D00"/>
    <w:rsid w:val="00FF5547"/>
    <w:rsid w:val="00FF5632"/>
    <w:rsid w:val="01334565"/>
    <w:rsid w:val="0142CE1B"/>
    <w:rsid w:val="014B3BA0"/>
    <w:rsid w:val="01679137"/>
    <w:rsid w:val="01696D13"/>
    <w:rsid w:val="0181B03C"/>
    <w:rsid w:val="01866414"/>
    <w:rsid w:val="01869EF4"/>
    <w:rsid w:val="018DDB38"/>
    <w:rsid w:val="019FC41B"/>
    <w:rsid w:val="01C9EAFB"/>
    <w:rsid w:val="01F9AD4C"/>
    <w:rsid w:val="021B45FB"/>
    <w:rsid w:val="023862F3"/>
    <w:rsid w:val="023D3F13"/>
    <w:rsid w:val="0263748E"/>
    <w:rsid w:val="028DBFEB"/>
    <w:rsid w:val="02AB8219"/>
    <w:rsid w:val="02C9D918"/>
    <w:rsid w:val="0301A78A"/>
    <w:rsid w:val="03105B0B"/>
    <w:rsid w:val="0338B909"/>
    <w:rsid w:val="034369E2"/>
    <w:rsid w:val="034F07C9"/>
    <w:rsid w:val="035BFF2E"/>
    <w:rsid w:val="03773E97"/>
    <w:rsid w:val="037C2A13"/>
    <w:rsid w:val="038E1F83"/>
    <w:rsid w:val="03A16527"/>
    <w:rsid w:val="03BC56F6"/>
    <w:rsid w:val="03C9FFE1"/>
    <w:rsid w:val="03D8B3E2"/>
    <w:rsid w:val="0414EE6E"/>
    <w:rsid w:val="047C83CA"/>
    <w:rsid w:val="048A6C8C"/>
    <w:rsid w:val="048AA3D4"/>
    <w:rsid w:val="04ABC77F"/>
    <w:rsid w:val="04B43652"/>
    <w:rsid w:val="04D34769"/>
    <w:rsid w:val="04EB10DF"/>
    <w:rsid w:val="04F5FA3F"/>
    <w:rsid w:val="0516C5EB"/>
    <w:rsid w:val="053C205F"/>
    <w:rsid w:val="05672388"/>
    <w:rsid w:val="05690B56"/>
    <w:rsid w:val="056E0E19"/>
    <w:rsid w:val="05838B80"/>
    <w:rsid w:val="058DCC8E"/>
    <w:rsid w:val="05A7C83B"/>
    <w:rsid w:val="064496CD"/>
    <w:rsid w:val="06580E18"/>
    <w:rsid w:val="065A2A07"/>
    <w:rsid w:val="065C5903"/>
    <w:rsid w:val="066AB6E2"/>
    <w:rsid w:val="0678FC70"/>
    <w:rsid w:val="06B86EBC"/>
    <w:rsid w:val="06BDF2C6"/>
    <w:rsid w:val="06D61962"/>
    <w:rsid w:val="06ECC6C0"/>
    <w:rsid w:val="06F304BC"/>
    <w:rsid w:val="06FE8D7F"/>
    <w:rsid w:val="070715CB"/>
    <w:rsid w:val="070CEF4C"/>
    <w:rsid w:val="071AAAF9"/>
    <w:rsid w:val="0750F876"/>
    <w:rsid w:val="0761DA67"/>
    <w:rsid w:val="07803640"/>
    <w:rsid w:val="07822A2E"/>
    <w:rsid w:val="0785C99C"/>
    <w:rsid w:val="07876F15"/>
    <w:rsid w:val="07D46EBA"/>
    <w:rsid w:val="07ED5656"/>
    <w:rsid w:val="0814E7CB"/>
    <w:rsid w:val="08169E63"/>
    <w:rsid w:val="0830403B"/>
    <w:rsid w:val="0838AF3F"/>
    <w:rsid w:val="08486849"/>
    <w:rsid w:val="085CA5FA"/>
    <w:rsid w:val="08623236"/>
    <w:rsid w:val="086847C6"/>
    <w:rsid w:val="086B3FF6"/>
    <w:rsid w:val="0871846B"/>
    <w:rsid w:val="08965375"/>
    <w:rsid w:val="08992B47"/>
    <w:rsid w:val="08A44609"/>
    <w:rsid w:val="08AF7BD2"/>
    <w:rsid w:val="08B4DAEA"/>
    <w:rsid w:val="08BE7F9B"/>
    <w:rsid w:val="08DB839D"/>
    <w:rsid w:val="090B0F98"/>
    <w:rsid w:val="092D3031"/>
    <w:rsid w:val="09662463"/>
    <w:rsid w:val="096B704F"/>
    <w:rsid w:val="0979FCE4"/>
    <w:rsid w:val="0996EEE6"/>
    <w:rsid w:val="0998A4E6"/>
    <w:rsid w:val="09C2DFDE"/>
    <w:rsid w:val="09DD5B96"/>
    <w:rsid w:val="09E4E5A6"/>
    <w:rsid w:val="09F7FCBC"/>
    <w:rsid w:val="0A1D5F02"/>
    <w:rsid w:val="0A26DF87"/>
    <w:rsid w:val="0A34CC2D"/>
    <w:rsid w:val="0A38AE78"/>
    <w:rsid w:val="0A45F309"/>
    <w:rsid w:val="0A593CDE"/>
    <w:rsid w:val="0A8CD66F"/>
    <w:rsid w:val="0A9A36B9"/>
    <w:rsid w:val="0AA6182C"/>
    <w:rsid w:val="0AB6C6FE"/>
    <w:rsid w:val="0AC6F4DA"/>
    <w:rsid w:val="0AC79FE5"/>
    <w:rsid w:val="0AD6D8D5"/>
    <w:rsid w:val="0AEAF8EA"/>
    <w:rsid w:val="0B025305"/>
    <w:rsid w:val="0B6B9C1B"/>
    <w:rsid w:val="0B90C936"/>
    <w:rsid w:val="0B99BBDF"/>
    <w:rsid w:val="0BA2783E"/>
    <w:rsid w:val="0BBD3C99"/>
    <w:rsid w:val="0BCDF437"/>
    <w:rsid w:val="0BEB8919"/>
    <w:rsid w:val="0BF5AE79"/>
    <w:rsid w:val="0C0355ED"/>
    <w:rsid w:val="0C0C04FA"/>
    <w:rsid w:val="0C12181F"/>
    <w:rsid w:val="0C2461F6"/>
    <w:rsid w:val="0C3904B2"/>
    <w:rsid w:val="0C5941C1"/>
    <w:rsid w:val="0C5E55E7"/>
    <w:rsid w:val="0C655CB5"/>
    <w:rsid w:val="0C6EE213"/>
    <w:rsid w:val="0C800D77"/>
    <w:rsid w:val="0C8DBCB2"/>
    <w:rsid w:val="0C975F1F"/>
    <w:rsid w:val="0CA26A97"/>
    <w:rsid w:val="0CA6DC98"/>
    <w:rsid w:val="0CC964CB"/>
    <w:rsid w:val="0CD06D87"/>
    <w:rsid w:val="0CFD0F3B"/>
    <w:rsid w:val="0D1BD96C"/>
    <w:rsid w:val="0D271231"/>
    <w:rsid w:val="0D28A761"/>
    <w:rsid w:val="0D497762"/>
    <w:rsid w:val="0D4F7421"/>
    <w:rsid w:val="0D52DBA6"/>
    <w:rsid w:val="0D898245"/>
    <w:rsid w:val="0D940B63"/>
    <w:rsid w:val="0DA43CB5"/>
    <w:rsid w:val="0DA7587D"/>
    <w:rsid w:val="0DD252A0"/>
    <w:rsid w:val="0DD417E9"/>
    <w:rsid w:val="0DE1BB99"/>
    <w:rsid w:val="0DF59D62"/>
    <w:rsid w:val="0E0822F2"/>
    <w:rsid w:val="0E1ECED3"/>
    <w:rsid w:val="0E29994D"/>
    <w:rsid w:val="0E349B48"/>
    <w:rsid w:val="0E372CED"/>
    <w:rsid w:val="0E42F30A"/>
    <w:rsid w:val="0E5FC9F6"/>
    <w:rsid w:val="0E642BEA"/>
    <w:rsid w:val="0E64CBAC"/>
    <w:rsid w:val="0E797711"/>
    <w:rsid w:val="0E8C7876"/>
    <w:rsid w:val="0E965101"/>
    <w:rsid w:val="0EA88C12"/>
    <w:rsid w:val="0EB6A9CC"/>
    <w:rsid w:val="0EE8AEF1"/>
    <w:rsid w:val="0F0594F9"/>
    <w:rsid w:val="0F172C51"/>
    <w:rsid w:val="0F403067"/>
    <w:rsid w:val="0F49B23B"/>
    <w:rsid w:val="0F5149C1"/>
    <w:rsid w:val="0F68CD36"/>
    <w:rsid w:val="0F8497E0"/>
    <w:rsid w:val="0F8C75D3"/>
    <w:rsid w:val="0FC39188"/>
    <w:rsid w:val="0FC82F73"/>
    <w:rsid w:val="0FDD6FE3"/>
    <w:rsid w:val="0FDFF9CF"/>
    <w:rsid w:val="0FF6E8F9"/>
    <w:rsid w:val="10112C2A"/>
    <w:rsid w:val="1011D7F8"/>
    <w:rsid w:val="10231497"/>
    <w:rsid w:val="102E762D"/>
    <w:rsid w:val="1037007B"/>
    <w:rsid w:val="104425EB"/>
    <w:rsid w:val="1052BF95"/>
    <w:rsid w:val="1052D7DD"/>
    <w:rsid w:val="107359AB"/>
    <w:rsid w:val="107505A6"/>
    <w:rsid w:val="1088C362"/>
    <w:rsid w:val="108A2130"/>
    <w:rsid w:val="109794A9"/>
    <w:rsid w:val="109B42C7"/>
    <w:rsid w:val="10A8747B"/>
    <w:rsid w:val="10B4D0E6"/>
    <w:rsid w:val="10C0D68C"/>
    <w:rsid w:val="10D9B267"/>
    <w:rsid w:val="10DDF74A"/>
    <w:rsid w:val="10E2BE66"/>
    <w:rsid w:val="10E3187E"/>
    <w:rsid w:val="10F88AFD"/>
    <w:rsid w:val="10FB27B9"/>
    <w:rsid w:val="11000DED"/>
    <w:rsid w:val="110C0AF3"/>
    <w:rsid w:val="1124F1AE"/>
    <w:rsid w:val="1138CC6E"/>
    <w:rsid w:val="11468288"/>
    <w:rsid w:val="114BA403"/>
    <w:rsid w:val="118BE24E"/>
    <w:rsid w:val="11A6794F"/>
    <w:rsid w:val="11C2DE8B"/>
    <w:rsid w:val="11CF2B69"/>
    <w:rsid w:val="11E009F5"/>
    <w:rsid w:val="120F72F2"/>
    <w:rsid w:val="12161500"/>
    <w:rsid w:val="12511CD0"/>
    <w:rsid w:val="126CD434"/>
    <w:rsid w:val="1286DE4A"/>
    <w:rsid w:val="128D06A7"/>
    <w:rsid w:val="12ACF9C4"/>
    <w:rsid w:val="12CB9641"/>
    <w:rsid w:val="12CEA246"/>
    <w:rsid w:val="12E14797"/>
    <w:rsid w:val="12EE0608"/>
    <w:rsid w:val="12F6AF32"/>
    <w:rsid w:val="132AA846"/>
    <w:rsid w:val="133AE451"/>
    <w:rsid w:val="134D247B"/>
    <w:rsid w:val="138F6F4F"/>
    <w:rsid w:val="13A2171B"/>
    <w:rsid w:val="13D12E3C"/>
    <w:rsid w:val="13D99EA7"/>
    <w:rsid w:val="140518E7"/>
    <w:rsid w:val="14105531"/>
    <w:rsid w:val="14188617"/>
    <w:rsid w:val="1419BD18"/>
    <w:rsid w:val="141EEFFF"/>
    <w:rsid w:val="14243DA9"/>
    <w:rsid w:val="1425C468"/>
    <w:rsid w:val="143429AD"/>
    <w:rsid w:val="1441017B"/>
    <w:rsid w:val="1453B812"/>
    <w:rsid w:val="14735375"/>
    <w:rsid w:val="148A9518"/>
    <w:rsid w:val="14AD5C78"/>
    <w:rsid w:val="14EB68A8"/>
    <w:rsid w:val="15091116"/>
    <w:rsid w:val="150E4EDD"/>
    <w:rsid w:val="150F01F7"/>
    <w:rsid w:val="154D720B"/>
    <w:rsid w:val="155967D6"/>
    <w:rsid w:val="155D61C7"/>
    <w:rsid w:val="155EBAED"/>
    <w:rsid w:val="1561FEAA"/>
    <w:rsid w:val="1580DF43"/>
    <w:rsid w:val="15871E95"/>
    <w:rsid w:val="158A44E3"/>
    <w:rsid w:val="15951FD4"/>
    <w:rsid w:val="15BF358A"/>
    <w:rsid w:val="15DD337A"/>
    <w:rsid w:val="1610E109"/>
    <w:rsid w:val="161F9689"/>
    <w:rsid w:val="162157D2"/>
    <w:rsid w:val="1626DA9A"/>
    <w:rsid w:val="162EDE5F"/>
    <w:rsid w:val="167F0F93"/>
    <w:rsid w:val="169502C3"/>
    <w:rsid w:val="16AFC093"/>
    <w:rsid w:val="16E7B592"/>
    <w:rsid w:val="16F38913"/>
    <w:rsid w:val="16FCD966"/>
    <w:rsid w:val="172BF62F"/>
    <w:rsid w:val="172D62E9"/>
    <w:rsid w:val="1759C10D"/>
    <w:rsid w:val="176C8A12"/>
    <w:rsid w:val="17702BB4"/>
    <w:rsid w:val="179C92E5"/>
    <w:rsid w:val="17A4352B"/>
    <w:rsid w:val="17A622E7"/>
    <w:rsid w:val="17B3DDF5"/>
    <w:rsid w:val="17B7465E"/>
    <w:rsid w:val="17D26703"/>
    <w:rsid w:val="17D4324C"/>
    <w:rsid w:val="17F4E6D0"/>
    <w:rsid w:val="18229211"/>
    <w:rsid w:val="1837943E"/>
    <w:rsid w:val="1840D5D9"/>
    <w:rsid w:val="18694E4F"/>
    <w:rsid w:val="18AC773F"/>
    <w:rsid w:val="18AEC93C"/>
    <w:rsid w:val="18DE0A23"/>
    <w:rsid w:val="18DF44E7"/>
    <w:rsid w:val="18F55F7D"/>
    <w:rsid w:val="1903007A"/>
    <w:rsid w:val="1903E1A8"/>
    <w:rsid w:val="190E4C48"/>
    <w:rsid w:val="1912612C"/>
    <w:rsid w:val="1919A392"/>
    <w:rsid w:val="193988D8"/>
    <w:rsid w:val="193DCFFA"/>
    <w:rsid w:val="19616DEB"/>
    <w:rsid w:val="1962C0B9"/>
    <w:rsid w:val="1974C3D7"/>
    <w:rsid w:val="1977D6D1"/>
    <w:rsid w:val="197F9174"/>
    <w:rsid w:val="19978981"/>
    <w:rsid w:val="19C9F47C"/>
    <w:rsid w:val="19E2BA76"/>
    <w:rsid w:val="1A018F61"/>
    <w:rsid w:val="1A0E9EDE"/>
    <w:rsid w:val="1A328595"/>
    <w:rsid w:val="1A438CA9"/>
    <w:rsid w:val="1A6BF326"/>
    <w:rsid w:val="1A799B2D"/>
    <w:rsid w:val="1A800B5C"/>
    <w:rsid w:val="1A87761F"/>
    <w:rsid w:val="1A8B44C1"/>
    <w:rsid w:val="1A92435D"/>
    <w:rsid w:val="1A9445D4"/>
    <w:rsid w:val="1A9D5594"/>
    <w:rsid w:val="1AA1B5E7"/>
    <w:rsid w:val="1AD3DD1F"/>
    <w:rsid w:val="1AE294F9"/>
    <w:rsid w:val="1AE5A7D4"/>
    <w:rsid w:val="1B07FFFD"/>
    <w:rsid w:val="1B1299F5"/>
    <w:rsid w:val="1B15954A"/>
    <w:rsid w:val="1B18C386"/>
    <w:rsid w:val="1B25A050"/>
    <w:rsid w:val="1B95FE63"/>
    <w:rsid w:val="1B9D5FC2"/>
    <w:rsid w:val="1B9F074C"/>
    <w:rsid w:val="1BA10320"/>
    <w:rsid w:val="1BC1FE7B"/>
    <w:rsid w:val="1BC8950E"/>
    <w:rsid w:val="1BF4AA4D"/>
    <w:rsid w:val="1C010DB9"/>
    <w:rsid w:val="1C246F93"/>
    <w:rsid w:val="1C3585C1"/>
    <w:rsid w:val="1C371995"/>
    <w:rsid w:val="1C5ABD2F"/>
    <w:rsid w:val="1C80BE69"/>
    <w:rsid w:val="1C8B8857"/>
    <w:rsid w:val="1C9C2043"/>
    <w:rsid w:val="1CA9CF45"/>
    <w:rsid w:val="1CB24FE7"/>
    <w:rsid w:val="1CBC2087"/>
    <w:rsid w:val="1CC109B2"/>
    <w:rsid w:val="1CCB1209"/>
    <w:rsid w:val="1CDD5F7F"/>
    <w:rsid w:val="1CEFA2DC"/>
    <w:rsid w:val="1D062FC6"/>
    <w:rsid w:val="1D8481EE"/>
    <w:rsid w:val="1D9EF34A"/>
    <w:rsid w:val="1DA3EDE5"/>
    <w:rsid w:val="1DC4A15E"/>
    <w:rsid w:val="1E34CE32"/>
    <w:rsid w:val="1E357357"/>
    <w:rsid w:val="1E70925F"/>
    <w:rsid w:val="1EACFB30"/>
    <w:rsid w:val="1EB4CF66"/>
    <w:rsid w:val="1EBAAA84"/>
    <w:rsid w:val="1EE8A32E"/>
    <w:rsid w:val="1EF5996C"/>
    <w:rsid w:val="1F017349"/>
    <w:rsid w:val="1F0859DF"/>
    <w:rsid w:val="1F0C67E2"/>
    <w:rsid w:val="1F0D4E4A"/>
    <w:rsid w:val="1F5C12AB"/>
    <w:rsid w:val="1F65207A"/>
    <w:rsid w:val="1F7DC4D8"/>
    <w:rsid w:val="1F88337E"/>
    <w:rsid w:val="1F9D1EE5"/>
    <w:rsid w:val="1FACC6E8"/>
    <w:rsid w:val="1FB0F754"/>
    <w:rsid w:val="1FC53F5D"/>
    <w:rsid w:val="1FCAB968"/>
    <w:rsid w:val="1FD28DE7"/>
    <w:rsid w:val="20220316"/>
    <w:rsid w:val="20236D8A"/>
    <w:rsid w:val="2077C869"/>
    <w:rsid w:val="207E1F18"/>
    <w:rsid w:val="208728AC"/>
    <w:rsid w:val="2089700C"/>
    <w:rsid w:val="208E4599"/>
    <w:rsid w:val="20916AFB"/>
    <w:rsid w:val="20954844"/>
    <w:rsid w:val="20BCC5C9"/>
    <w:rsid w:val="20F319F5"/>
    <w:rsid w:val="20F5E523"/>
    <w:rsid w:val="2106CDDB"/>
    <w:rsid w:val="21100502"/>
    <w:rsid w:val="2161A1FC"/>
    <w:rsid w:val="2166402F"/>
    <w:rsid w:val="218118CD"/>
    <w:rsid w:val="21920EDE"/>
    <w:rsid w:val="2199629E"/>
    <w:rsid w:val="21DD4D67"/>
    <w:rsid w:val="21E2AA5E"/>
    <w:rsid w:val="220CA146"/>
    <w:rsid w:val="22233F6D"/>
    <w:rsid w:val="224C4409"/>
    <w:rsid w:val="226DC54A"/>
    <w:rsid w:val="22A5247A"/>
    <w:rsid w:val="22B946C0"/>
    <w:rsid w:val="22B9DCB1"/>
    <w:rsid w:val="2331247B"/>
    <w:rsid w:val="233A3F72"/>
    <w:rsid w:val="234A46A7"/>
    <w:rsid w:val="235A4FB3"/>
    <w:rsid w:val="236B71B9"/>
    <w:rsid w:val="237E9C71"/>
    <w:rsid w:val="23A6E1F1"/>
    <w:rsid w:val="23A828AB"/>
    <w:rsid w:val="23B54E6E"/>
    <w:rsid w:val="23BA31BC"/>
    <w:rsid w:val="2407C9CA"/>
    <w:rsid w:val="2412F0C8"/>
    <w:rsid w:val="2417D799"/>
    <w:rsid w:val="241F6DD1"/>
    <w:rsid w:val="241FDB49"/>
    <w:rsid w:val="242CEC92"/>
    <w:rsid w:val="2436B118"/>
    <w:rsid w:val="2440D25B"/>
    <w:rsid w:val="244E72B6"/>
    <w:rsid w:val="24655068"/>
    <w:rsid w:val="24830C3D"/>
    <w:rsid w:val="24835848"/>
    <w:rsid w:val="248A61DC"/>
    <w:rsid w:val="24935000"/>
    <w:rsid w:val="249C09BB"/>
    <w:rsid w:val="24A128E6"/>
    <w:rsid w:val="24D404A2"/>
    <w:rsid w:val="24ED3962"/>
    <w:rsid w:val="24F9BEB5"/>
    <w:rsid w:val="25034C32"/>
    <w:rsid w:val="25050041"/>
    <w:rsid w:val="256CE1AE"/>
    <w:rsid w:val="2576532F"/>
    <w:rsid w:val="25907C9B"/>
    <w:rsid w:val="25994FCD"/>
    <w:rsid w:val="25BB187C"/>
    <w:rsid w:val="25D83A52"/>
    <w:rsid w:val="25D8E8DD"/>
    <w:rsid w:val="25EBE585"/>
    <w:rsid w:val="25F8B6A0"/>
    <w:rsid w:val="261CF18B"/>
    <w:rsid w:val="263A2524"/>
    <w:rsid w:val="263BDC99"/>
    <w:rsid w:val="26548E11"/>
    <w:rsid w:val="265FE51C"/>
    <w:rsid w:val="26D1DE69"/>
    <w:rsid w:val="26E30F52"/>
    <w:rsid w:val="26F62951"/>
    <w:rsid w:val="26FFD835"/>
    <w:rsid w:val="274AD480"/>
    <w:rsid w:val="274BDACB"/>
    <w:rsid w:val="274D6EE2"/>
    <w:rsid w:val="277203B6"/>
    <w:rsid w:val="2772DF59"/>
    <w:rsid w:val="2774CE71"/>
    <w:rsid w:val="2777A757"/>
    <w:rsid w:val="277EAAFE"/>
    <w:rsid w:val="27A8CED7"/>
    <w:rsid w:val="27FDD5A7"/>
    <w:rsid w:val="2852AB1E"/>
    <w:rsid w:val="288633A1"/>
    <w:rsid w:val="28882156"/>
    <w:rsid w:val="28AFA982"/>
    <w:rsid w:val="28CB9D48"/>
    <w:rsid w:val="28ED3F68"/>
    <w:rsid w:val="28F3C2D2"/>
    <w:rsid w:val="2901411E"/>
    <w:rsid w:val="290B549D"/>
    <w:rsid w:val="291218ED"/>
    <w:rsid w:val="2951260A"/>
    <w:rsid w:val="29539ED2"/>
    <w:rsid w:val="2953E1A6"/>
    <w:rsid w:val="295AD8B3"/>
    <w:rsid w:val="295D9948"/>
    <w:rsid w:val="2984A6F4"/>
    <w:rsid w:val="29917858"/>
    <w:rsid w:val="29A09A94"/>
    <w:rsid w:val="29CFAE52"/>
    <w:rsid w:val="29FA8720"/>
    <w:rsid w:val="2A073040"/>
    <w:rsid w:val="2A076880"/>
    <w:rsid w:val="2A122DC5"/>
    <w:rsid w:val="2A222448"/>
    <w:rsid w:val="2A5BA6B6"/>
    <w:rsid w:val="2A8B1DDA"/>
    <w:rsid w:val="2AB297BE"/>
    <w:rsid w:val="2AFA70D8"/>
    <w:rsid w:val="2B46C725"/>
    <w:rsid w:val="2B67DEC4"/>
    <w:rsid w:val="2B7B517F"/>
    <w:rsid w:val="2B908499"/>
    <w:rsid w:val="2BAAC340"/>
    <w:rsid w:val="2BB813CF"/>
    <w:rsid w:val="2BBB2E6C"/>
    <w:rsid w:val="2BCA2BE9"/>
    <w:rsid w:val="2BCB3201"/>
    <w:rsid w:val="2BD268CF"/>
    <w:rsid w:val="2BD59D06"/>
    <w:rsid w:val="2BE5C61F"/>
    <w:rsid w:val="2C167848"/>
    <w:rsid w:val="2C1F9EA5"/>
    <w:rsid w:val="2C54A9DC"/>
    <w:rsid w:val="2C5B5841"/>
    <w:rsid w:val="2C8A1021"/>
    <w:rsid w:val="2C8E1E22"/>
    <w:rsid w:val="2C94E848"/>
    <w:rsid w:val="2C9E76D1"/>
    <w:rsid w:val="2CA5537A"/>
    <w:rsid w:val="2CAAACF6"/>
    <w:rsid w:val="2CBD65DD"/>
    <w:rsid w:val="2CC2C6A9"/>
    <w:rsid w:val="2CCF874B"/>
    <w:rsid w:val="2CDF2D41"/>
    <w:rsid w:val="2CE3339E"/>
    <w:rsid w:val="2CF2315B"/>
    <w:rsid w:val="2CFD4524"/>
    <w:rsid w:val="2D0DD73B"/>
    <w:rsid w:val="2D1C8422"/>
    <w:rsid w:val="2D32867F"/>
    <w:rsid w:val="2D428E19"/>
    <w:rsid w:val="2D637060"/>
    <w:rsid w:val="2D6F568B"/>
    <w:rsid w:val="2D7DFAEE"/>
    <w:rsid w:val="2D902D48"/>
    <w:rsid w:val="2DDE73C0"/>
    <w:rsid w:val="2DF5A457"/>
    <w:rsid w:val="2E10EF43"/>
    <w:rsid w:val="2E19BF7B"/>
    <w:rsid w:val="2E1B5CF6"/>
    <w:rsid w:val="2E219800"/>
    <w:rsid w:val="2E21AA52"/>
    <w:rsid w:val="2E3FD54F"/>
    <w:rsid w:val="2E5CA627"/>
    <w:rsid w:val="2E5CCBF7"/>
    <w:rsid w:val="2E671452"/>
    <w:rsid w:val="2E6721EB"/>
    <w:rsid w:val="2E6DB682"/>
    <w:rsid w:val="2E6F55D4"/>
    <w:rsid w:val="2E7B4DDE"/>
    <w:rsid w:val="2E899CEB"/>
    <w:rsid w:val="2E922051"/>
    <w:rsid w:val="2E9A0669"/>
    <w:rsid w:val="2EA15DE6"/>
    <w:rsid w:val="2EABA48F"/>
    <w:rsid w:val="2EB9ED54"/>
    <w:rsid w:val="2EC32C84"/>
    <w:rsid w:val="2ECD9AD4"/>
    <w:rsid w:val="2EDECC52"/>
    <w:rsid w:val="2EEAC2A2"/>
    <w:rsid w:val="2EF765B7"/>
    <w:rsid w:val="2EFDEEE9"/>
    <w:rsid w:val="2F070DC0"/>
    <w:rsid w:val="2F405617"/>
    <w:rsid w:val="2F4D1FBC"/>
    <w:rsid w:val="2F61176B"/>
    <w:rsid w:val="2F61FAC2"/>
    <w:rsid w:val="2F63FB10"/>
    <w:rsid w:val="2FA8AD4A"/>
    <w:rsid w:val="2FBD2E84"/>
    <w:rsid w:val="2FE759D5"/>
    <w:rsid w:val="2FED4250"/>
    <w:rsid w:val="2FF8E5A1"/>
    <w:rsid w:val="2FF95F18"/>
    <w:rsid w:val="300FFB76"/>
    <w:rsid w:val="301E569C"/>
    <w:rsid w:val="3060E497"/>
    <w:rsid w:val="306DC6A4"/>
    <w:rsid w:val="3071620F"/>
    <w:rsid w:val="30745741"/>
    <w:rsid w:val="30CAD731"/>
    <w:rsid w:val="31003A16"/>
    <w:rsid w:val="3105ABB4"/>
    <w:rsid w:val="311AD1E0"/>
    <w:rsid w:val="311B0569"/>
    <w:rsid w:val="312E73E7"/>
    <w:rsid w:val="31508391"/>
    <w:rsid w:val="317A7CEB"/>
    <w:rsid w:val="3192FA87"/>
    <w:rsid w:val="31A1D5EA"/>
    <w:rsid w:val="31A5D026"/>
    <w:rsid w:val="31AD89D4"/>
    <w:rsid w:val="31C68869"/>
    <w:rsid w:val="31DDC895"/>
    <w:rsid w:val="31F950B1"/>
    <w:rsid w:val="31FAC92E"/>
    <w:rsid w:val="320829C3"/>
    <w:rsid w:val="320D45FE"/>
    <w:rsid w:val="326D4CED"/>
    <w:rsid w:val="3272CAA2"/>
    <w:rsid w:val="327AFBBE"/>
    <w:rsid w:val="3280571D"/>
    <w:rsid w:val="328A5D3C"/>
    <w:rsid w:val="32B51D14"/>
    <w:rsid w:val="32B99E22"/>
    <w:rsid w:val="32DC90C8"/>
    <w:rsid w:val="32E1CEE9"/>
    <w:rsid w:val="32FAF787"/>
    <w:rsid w:val="32FDF265"/>
    <w:rsid w:val="33236A85"/>
    <w:rsid w:val="3346CF9C"/>
    <w:rsid w:val="3373FDBF"/>
    <w:rsid w:val="3384CEE1"/>
    <w:rsid w:val="33949A03"/>
    <w:rsid w:val="33CCCDF3"/>
    <w:rsid w:val="33DADCD4"/>
    <w:rsid w:val="33DD211E"/>
    <w:rsid w:val="3413C9CD"/>
    <w:rsid w:val="347511AC"/>
    <w:rsid w:val="34A3BB75"/>
    <w:rsid w:val="34DBFF8C"/>
    <w:rsid w:val="34DD59F7"/>
    <w:rsid w:val="34F1686E"/>
    <w:rsid w:val="34F4195F"/>
    <w:rsid w:val="350B3ECA"/>
    <w:rsid w:val="3516C27A"/>
    <w:rsid w:val="353A95A2"/>
    <w:rsid w:val="353CEECD"/>
    <w:rsid w:val="3543242C"/>
    <w:rsid w:val="355B9639"/>
    <w:rsid w:val="3582371C"/>
    <w:rsid w:val="3595482B"/>
    <w:rsid w:val="3598E8EC"/>
    <w:rsid w:val="3599C7B2"/>
    <w:rsid w:val="3599D41D"/>
    <w:rsid w:val="35A5A11A"/>
    <w:rsid w:val="35AD4937"/>
    <w:rsid w:val="35B2B30B"/>
    <w:rsid w:val="35B3B620"/>
    <w:rsid w:val="35B6F75C"/>
    <w:rsid w:val="35C36A76"/>
    <w:rsid w:val="35C881C1"/>
    <w:rsid w:val="35D9C877"/>
    <w:rsid w:val="35F6551F"/>
    <w:rsid w:val="35FCC0D3"/>
    <w:rsid w:val="35FE53E1"/>
    <w:rsid w:val="3607DA1A"/>
    <w:rsid w:val="36267651"/>
    <w:rsid w:val="36350068"/>
    <w:rsid w:val="36497F13"/>
    <w:rsid w:val="3656FDE1"/>
    <w:rsid w:val="365BD5CC"/>
    <w:rsid w:val="366113D9"/>
    <w:rsid w:val="36636A39"/>
    <w:rsid w:val="36639DDF"/>
    <w:rsid w:val="366DAC85"/>
    <w:rsid w:val="368002B2"/>
    <w:rsid w:val="36B4B44E"/>
    <w:rsid w:val="36BC69A8"/>
    <w:rsid w:val="36DBF2CD"/>
    <w:rsid w:val="36DF23C0"/>
    <w:rsid w:val="36EFD827"/>
    <w:rsid w:val="370ECD93"/>
    <w:rsid w:val="374E4DE4"/>
    <w:rsid w:val="37A22C92"/>
    <w:rsid w:val="37A51F18"/>
    <w:rsid w:val="37CA0993"/>
    <w:rsid w:val="37D69F6D"/>
    <w:rsid w:val="37E7922F"/>
    <w:rsid w:val="37F16ADF"/>
    <w:rsid w:val="3806F1B3"/>
    <w:rsid w:val="381D8C96"/>
    <w:rsid w:val="383532DE"/>
    <w:rsid w:val="386E0D51"/>
    <w:rsid w:val="38AAB1A5"/>
    <w:rsid w:val="38AB6B5F"/>
    <w:rsid w:val="38ABEA08"/>
    <w:rsid w:val="38D14A37"/>
    <w:rsid w:val="38E7F85C"/>
    <w:rsid w:val="38F6187D"/>
    <w:rsid w:val="390374A0"/>
    <w:rsid w:val="39156198"/>
    <w:rsid w:val="396040B2"/>
    <w:rsid w:val="39769584"/>
    <w:rsid w:val="39811FD5"/>
    <w:rsid w:val="39856B64"/>
    <w:rsid w:val="399E6A5D"/>
    <w:rsid w:val="399F50C5"/>
    <w:rsid w:val="39A703E6"/>
    <w:rsid w:val="39B33CC3"/>
    <w:rsid w:val="39F69BF3"/>
    <w:rsid w:val="3A0493EF"/>
    <w:rsid w:val="3A09B1BD"/>
    <w:rsid w:val="3A09C2C3"/>
    <w:rsid w:val="3A29EF7E"/>
    <w:rsid w:val="3A44A88B"/>
    <w:rsid w:val="3A473BC0"/>
    <w:rsid w:val="3A48B0F7"/>
    <w:rsid w:val="3A50F961"/>
    <w:rsid w:val="3A5D3F6B"/>
    <w:rsid w:val="3A71A20A"/>
    <w:rsid w:val="3A7B43E1"/>
    <w:rsid w:val="3A7BCC06"/>
    <w:rsid w:val="3A861D9F"/>
    <w:rsid w:val="3A967653"/>
    <w:rsid w:val="3A97EC37"/>
    <w:rsid w:val="3AAB6680"/>
    <w:rsid w:val="3B000357"/>
    <w:rsid w:val="3B0FAFC0"/>
    <w:rsid w:val="3B290BA1"/>
    <w:rsid w:val="3B39B329"/>
    <w:rsid w:val="3B3B371E"/>
    <w:rsid w:val="3B3FD57C"/>
    <w:rsid w:val="3B4616FE"/>
    <w:rsid w:val="3B465024"/>
    <w:rsid w:val="3B68FD13"/>
    <w:rsid w:val="3B7ADEFD"/>
    <w:rsid w:val="3B7C5957"/>
    <w:rsid w:val="3B7FEA6B"/>
    <w:rsid w:val="3B81F24A"/>
    <w:rsid w:val="3B95C6CB"/>
    <w:rsid w:val="3B99BADE"/>
    <w:rsid w:val="3BBBA82A"/>
    <w:rsid w:val="3BCE170B"/>
    <w:rsid w:val="3BCFE3F9"/>
    <w:rsid w:val="3BD27922"/>
    <w:rsid w:val="3BE30C21"/>
    <w:rsid w:val="3C08E911"/>
    <w:rsid w:val="3C0BD493"/>
    <w:rsid w:val="3C1DCF6F"/>
    <w:rsid w:val="3C1EB06C"/>
    <w:rsid w:val="3C42EFB4"/>
    <w:rsid w:val="3C4B7BEB"/>
    <w:rsid w:val="3C637DC0"/>
    <w:rsid w:val="3C8CB408"/>
    <w:rsid w:val="3C91854D"/>
    <w:rsid w:val="3C9D766D"/>
    <w:rsid w:val="3CA88830"/>
    <w:rsid w:val="3CACE112"/>
    <w:rsid w:val="3CB08078"/>
    <w:rsid w:val="3CD85DD9"/>
    <w:rsid w:val="3CEFCBAB"/>
    <w:rsid w:val="3D595E31"/>
    <w:rsid w:val="3D81B426"/>
    <w:rsid w:val="3D83EE0F"/>
    <w:rsid w:val="3D9A2D21"/>
    <w:rsid w:val="3DAD4F52"/>
    <w:rsid w:val="3DD7B02D"/>
    <w:rsid w:val="3DEBB672"/>
    <w:rsid w:val="3E10D341"/>
    <w:rsid w:val="3E2FE96C"/>
    <w:rsid w:val="3E40CCE6"/>
    <w:rsid w:val="3E44886A"/>
    <w:rsid w:val="3E5750B6"/>
    <w:rsid w:val="3E7DB7C0"/>
    <w:rsid w:val="3E8D467F"/>
    <w:rsid w:val="3EA7AC06"/>
    <w:rsid w:val="3EBCC8D2"/>
    <w:rsid w:val="3EE198EF"/>
    <w:rsid w:val="3EECD31D"/>
    <w:rsid w:val="3EFC7CEE"/>
    <w:rsid w:val="3F263794"/>
    <w:rsid w:val="3F2C5812"/>
    <w:rsid w:val="3F2ED6CE"/>
    <w:rsid w:val="3F41F4D0"/>
    <w:rsid w:val="3F5CF581"/>
    <w:rsid w:val="3F6CB03D"/>
    <w:rsid w:val="3FA9EA86"/>
    <w:rsid w:val="3FF3471F"/>
    <w:rsid w:val="3FFC7CC4"/>
    <w:rsid w:val="4008A112"/>
    <w:rsid w:val="4014D103"/>
    <w:rsid w:val="40236B47"/>
    <w:rsid w:val="4040F663"/>
    <w:rsid w:val="40571A83"/>
    <w:rsid w:val="4067A41A"/>
    <w:rsid w:val="406B3F6F"/>
    <w:rsid w:val="40842E7E"/>
    <w:rsid w:val="4089A853"/>
    <w:rsid w:val="408C565E"/>
    <w:rsid w:val="408DD234"/>
    <w:rsid w:val="40C9E029"/>
    <w:rsid w:val="40E290B5"/>
    <w:rsid w:val="40E93F35"/>
    <w:rsid w:val="40F38CDF"/>
    <w:rsid w:val="4103115E"/>
    <w:rsid w:val="4107F408"/>
    <w:rsid w:val="411F9D96"/>
    <w:rsid w:val="412A4561"/>
    <w:rsid w:val="413DEC7F"/>
    <w:rsid w:val="4142D5AB"/>
    <w:rsid w:val="414C90AC"/>
    <w:rsid w:val="41777CDD"/>
    <w:rsid w:val="4193F9F1"/>
    <w:rsid w:val="41CCCE0C"/>
    <w:rsid w:val="41DF32EF"/>
    <w:rsid w:val="41E5AC5D"/>
    <w:rsid w:val="420945C6"/>
    <w:rsid w:val="421A64AC"/>
    <w:rsid w:val="4228A8BB"/>
    <w:rsid w:val="422CB41F"/>
    <w:rsid w:val="42315A41"/>
    <w:rsid w:val="427E6116"/>
    <w:rsid w:val="42824EBB"/>
    <w:rsid w:val="42898DC3"/>
    <w:rsid w:val="42941A5F"/>
    <w:rsid w:val="429B6535"/>
    <w:rsid w:val="42A705D7"/>
    <w:rsid w:val="42D163E4"/>
    <w:rsid w:val="42DF78BA"/>
    <w:rsid w:val="42ECAE71"/>
    <w:rsid w:val="43088D79"/>
    <w:rsid w:val="43095A8D"/>
    <w:rsid w:val="430DA7D1"/>
    <w:rsid w:val="43168B33"/>
    <w:rsid w:val="4322D03B"/>
    <w:rsid w:val="432F8BEC"/>
    <w:rsid w:val="4335269E"/>
    <w:rsid w:val="4369C3A3"/>
    <w:rsid w:val="43B982B3"/>
    <w:rsid w:val="43CF7156"/>
    <w:rsid w:val="43D43896"/>
    <w:rsid w:val="43E5ADCA"/>
    <w:rsid w:val="43ED8B5B"/>
    <w:rsid w:val="43FC768E"/>
    <w:rsid w:val="441A2606"/>
    <w:rsid w:val="441A37E2"/>
    <w:rsid w:val="441FFF1A"/>
    <w:rsid w:val="443A4155"/>
    <w:rsid w:val="445666C7"/>
    <w:rsid w:val="446E6D19"/>
    <w:rsid w:val="448FEDBB"/>
    <w:rsid w:val="44A41116"/>
    <w:rsid w:val="44B48306"/>
    <w:rsid w:val="44BB40CB"/>
    <w:rsid w:val="44BD3C41"/>
    <w:rsid w:val="44D4C8FF"/>
    <w:rsid w:val="44DE42EE"/>
    <w:rsid w:val="44F001E7"/>
    <w:rsid w:val="44FDF996"/>
    <w:rsid w:val="45181CCB"/>
    <w:rsid w:val="4527B056"/>
    <w:rsid w:val="454ECA83"/>
    <w:rsid w:val="455A93F1"/>
    <w:rsid w:val="4592EE76"/>
    <w:rsid w:val="45A4939C"/>
    <w:rsid w:val="45B601D8"/>
    <w:rsid w:val="45F62B60"/>
    <w:rsid w:val="46050B30"/>
    <w:rsid w:val="46138FDD"/>
    <w:rsid w:val="461F0B61"/>
    <w:rsid w:val="46318736"/>
    <w:rsid w:val="4636D150"/>
    <w:rsid w:val="46694043"/>
    <w:rsid w:val="4683F1B6"/>
    <w:rsid w:val="46853CE1"/>
    <w:rsid w:val="4688271D"/>
    <w:rsid w:val="46AC346D"/>
    <w:rsid w:val="46B30A41"/>
    <w:rsid w:val="47111D17"/>
    <w:rsid w:val="4752F672"/>
    <w:rsid w:val="4758CFE0"/>
    <w:rsid w:val="47628526"/>
    <w:rsid w:val="47842356"/>
    <w:rsid w:val="478C0568"/>
    <w:rsid w:val="47982DA0"/>
    <w:rsid w:val="479ECA44"/>
    <w:rsid w:val="47B32D28"/>
    <w:rsid w:val="47BF64CC"/>
    <w:rsid w:val="47E30969"/>
    <w:rsid w:val="47EBCDFF"/>
    <w:rsid w:val="4813EEC4"/>
    <w:rsid w:val="483634B5"/>
    <w:rsid w:val="483D16B8"/>
    <w:rsid w:val="483EB387"/>
    <w:rsid w:val="48433ED9"/>
    <w:rsid w:val="48605B9D"/>
    <w:rsid w:val="486D85FC"/>
    <w:rsid w:val="48718AFC"/>
    <w:rsid w:val="488D4EBA"/>
    <w:rsid w:val="489EF9B1"/>
    <w:rsid w:val="48B88384"/>
    <w:rsid w:val="48EDA29A"/>
    <w:rsid w:val="48F6FE62"/>
    <w:rsid w:val="49875EF9"/>
    <w:rsid w:val="499EFE59"/>
    <w:rsid w:val="49B16424"/>
    <w:rsid w:val="49BDCE46"/>
    <w:rsid w:val="49BFA46E"/>
    <w:rsid w:val="49E41E20"/>
    <w:rsid w:val="49FC9951"/>
    <w:rsid w:val="4A0188EE"/>
    <w:rsid w:val="4A131D5F"/>
    <w:rsid w:val="4A2284FD"/>
    <w:rsid w:val="4A2DBA8D"/>
    <w:rsid w:val="4A4B774E"/>
    <w:rsid w:val="4A5317D7"/>
    <w:rsid w:val="4A7038E4"/>
    <w:rsid w:val="4A967B50"/>
    <w:rsid w:val="4AA2AC6B"/>
    <w:rsid w:val="4AA5E192"/>
    <w:rsid w:val="4ACE0796"/>
    <w:rsid w:val="4AD6C6AF"/>
    <w:rsid w:val="4AE1822A"/>
    <w:rsid w:val="4AEB42A3"/>
    <w:rsid w:val="4B05CF07"/>
    <w:rsid w:val="4B2D24C0"/>
    <w:rsid w:val="4B3B70C5"/>
    <w:rsid w:val="4B3E726A"/>
    <w:rsid w:val="4B7A3A3D"/>
    <w:rsid w:val="4B9C59F2"/>
    <w:rsid w:val="4BC5C800"/>
    <w:rsid w:val="4BE4489D"/>
    <w:rsid w:val="4BF0D7AC"/>
    <w:rsid w:val="4C19CA01"/>
    <w:rsid w:val="4C3E7CCC"/>
    <w:rsid w:val="4C5AF879"/>
    <w:rsid w:val="4C6A8B5F"/>
    <w:rsid w:val="4CAB7F95"/>
    <w:rsid w:val="4CC14389"/>
    <w:rsid w:val="4CC259B7"/>
    <w:rsid w:val="4CD2F40E"/>
    <w:rsid w:val="4CD2FD16"/>
    <w:rsid w:val="4CE33FE8"/>
    <w:rsid w:val="4CEB0B00"/>
    <w:rsid w:val="4D1B1015"/>
    <w:rsid w:val="4D513EC8"/>
    <w:rsid w:val="4D65872A"/>
    <w:rsid w:val="4D6AF344"/>
    <w:rsid w:val="4D70E5C0"/>
    <w:rsid w:val="4D8F32F3"/>
    <w:rsid w:val="4D9163FD"/>
    <w:rsid w:val="4DA97EF7"/>
    <w:rsid w:val="4DAA499F"/>
    <w:rsid w:val="4DAAB4B2"/>
    <w:rsid w:val="4DB59A62"/>
    <w:rsid w:val="4DC0E964"/>
    <w:rsid w:val="4DC2847B"/>
    <w:rsid w:val="4DD45DAF"/>
    <w:rsid w:val="4DDB2845"/>
    <w:rsid w:val="4DF6A786"/>
    <w:rsid w:val="4E056A71"/>
    <w:rsid w:val="4E1C6F87"/>
    <w:rsid w:val="4E2C12C2"/>
    <w:rsid w:val="4E2C3505"/>
    <w:rsid w:val="4E377FF8"/>
    <w:rsid w:val="4E5BF0CF"/>
    <w:rsid w:val="4E6E70B3"/>
    <w:rsid w:val="4E6ECD77"/>
    <w:rsid w:val="4E70D669"/>
    <w:rsid w:val="4E8D5570"/>
    <w:rsid w:val="4E957012"/>
    <w:rsid w:val="4E967373"/>
    <w:rsid w:val="4EC33CF2"/>
    <w:rsid w:val="4ED26C8E"/>
    <w:rsid w:val="4EDA9042"/>
    <w:rsid w:val="4EED0F29"/>
    <w:rsid w:val="4EFF4ABE"/>
    <w:rsid w:val="4EFF7465"/>
    <w:rsid w:val="4F1661CC"/>
    <w:rsid w:val="4F2DC3AD"/>
    <w:rsid w:val="4F32DF7F"/>
    <w:rsid w:val="4F4BC93D"/>
    <w:rsid w:val="4F4FB602"/>
    <w:rsid w:val="4F52CA15"/>
    <w:rsid w:val="4F7690AC"/>
    <w:rsid w:val="4FA3954B"/>
    <w:rsid w:val="4FAE97E9"/>
    <w:rsid w:val="4FBB4A19"/>
    <w:rsid w:val="4FC3015F"/>
    <w:rsid w:val="4FD39810"/>
    <w:rsid w:val="4FE3FDB9"/>
    <w:rsid w:val="500FA4D2"/>
    <w:rsid w:val="50135030"/>
    <w:rsid w:val="5049D22A"/>
    <w:rsid w:val="5068E0B3"/>
    <w:rsid w:val="5070CA72"/>
    <w:rsid w:val="50AD8D40"/>
    <w:rsid w:val="50ECE76A"/>
    <w:rsid w:val="50F5F0E2"/>
    <w:rsid w:val="511A5439"/>
    <w:rsid w:val="51382085"/>
    <w:rsid w:val="51518FAF"/>
    <w:rsid w:val="5154DEB9"/>
    <w:rsid w:val="51598F99"/>
    <w:rsid w:val="515BAA08"/>
    <w:rsid w:val="51747251"/>
    <w:rsid w:val="5180F8F2"/>
    <w:rsid w:val="51833E88"/>
    <w:rsid w:val="5189D709"/>
    <w:rsid w:val="51A15F83"/>
    <w:rsid w:val="51ABD82B"/>
    <w:rsid w:val="51D25090"/>
    <w:rsid w:val="51D4E060"/>
    <w:rsid w:val="5235C21A"/>
    <w:rsid w:val="52458C88"/>
    <w:rsid w:val="5268716F"/>
    <w:rsid w:val="52CC21E1"/>
    <w:rsid w:val="52CE2626"/>
    <w:rsid w:val="52DEC694"/>
    <w:rsid w:val="530FA360"/>
    <w:rsid w:val="53120783"/>
    <w:rsid w:val="53298243"/>
    <w:rsid w:val="5347937F"/>
    <w:rsid w:val="5348AF99"/>
    <w:rsid w:val="53527A2F"/>
    <w:rsid w:val="5357B5C0"/>
    <w:rsid w:val="53589B6C"/>
    <w:rsid w:val="5367888A"/>
    <w:rsid w:val="537A8467"/>
    <w:rsid w:val="53809E31"/>
    <w:rsid w:val="53AC5FBA"/>
    <w:rsid w:val="53C2216B"/>
    <w:rsid w:val="53C50506"/>
    <w:rsid w:val="53D13784"/>
    <w:rsid w:val="53E4CA12"/>
    <w:rsid w:val="543D3EB6"/>
    <w:rsid w:val="543D9025"/>
    <w:rsid w:val="54435528"/>
    <w:rsid w:val="5481D92C"/>
    <w:rsid w:val="5499E7EC"/>
    <w:rsid w:val="54B34A79"/>
    <w:rsid w:val="54C48474"/>
    <w:rsid w:val="54F177A0"/>
    <w:rsid w:val="55256BCE"/>
    <w:rsid w:val="5538DD79"/>
    <w:rsid w:val="554ABB6B"/>
    <w:rsid w:val="556CFF20"/>
    <w:rsid w:val="5577E1E8"/>
    <w:rsid w:val="559227D4"/>
    <w:rsid w:val="55A01231"/>
    <w:rsid w:val="55A5E432"/>
    <w:rsid w:val="55ADA243"/>
    <w:rsid w:val="55DD1165"/>
    <w:rsid w:val="55DDB7A4"/>
    <w:rsid w:val="55E4E19B"/>
    <w:rsid w:val="55E4E851"/>
    <w:rsid w:val="55EFA3F8"/>
    <w:rsid w:val="5613E07E"/>
    <w:rsid w:val="56368F43"/>
    <w:rsid w:val="56472070"/>
    <w:rsid w:val="566DC690"/>
    <w:rsid w:val="5689D553"/>
    <w:rsid w:val="56BE9F5C"/>
    <w:rsid w:val="56D714ED"/>
    <w:rsid w:val="56E6C3B5"/>
    <w:rsid w:val="570F194F"/>
    <w:rsid w:val="5743D018"/>
    <w:rsid w:val="5748211E"/>
    <w:rsid w:val="574DCB7A"/>
    <w:rsid w:val="576DA24F"/>
    <w:rsid w:val="5777ACBC"/>
    <w:rsid w:val="57805695"/>
    <w:rsid w:val="578A8857"/>
    <w:rsid w:val="579A9746"/>
    <w:rsid w:val="57AAECE3"/>
    <w:rsid w:val="57AB3E9F"/>
    <w:rsid w:val="57B3D545"/>
    <w:rsid w:val="57B744A2"/>
    <w:rsid w:val="580A789D"/>
    <w:rsid w:val="5810F9D5"/>
    <w:rsid w:val="58162BCB"/>
    <w:rsid w:val="5827DB55"/>
    <w:rsid w:val="5850A87B"/>
    <w:rsid w:val="5850C2A8"/>
    <w:rsid w:val="5862B3FA"/>
    <w:rsid w:val="58B22466"/>
    <w:rsid w:val="58C06DA4"/>
    <w:rsid w:val="58C5E264"/>
    <w:rsid w:val="58DBA7B8"/>
    <w:rsid w:val="58DCC1EB"/>
    <w:rsid w:val="58DFA079"/>
    <w:rsid w:val="592E6606"/>
    <w:rsid w:val="5938EB1F"/>
    <w:rsid w:val="594483BE"/>
    <w:rsid w:val="598096DA"/>
    <w:rsid w:val="599E4C0E"/>
    <w:rsid w:val="59A38575"/>
    <w:rsid w:val="59A8A48E"/>
    <w:rsid w:val="59AF79A1"/>
    <w:rsid w:val="59BE4FF7"/>
    <w:rsid w:val="59CA48F7"/>
    <w:rsid w:val="59CC307F"/>
    <w:rsid w:val="59CEB191"/>
    <w:rsid w:val="59E4EAC1"/>
    <w:rsid w:val="59FD52E2"/>
    <w:rsid w:val="5A064921"/>
    <w:rsid w:val="5A12C58B"/>
    <w:rsid w:val="5A575591"/>
    <w:rsid w:val="5AA87157"/>
    <w:rsid w:val="5AAAB463"/>
    <w:rsid w:val="5AAC8DCA"/>
    <w:rsid w:val="5AB64716"/>
    <w:rsid w:val="5ABAE9D6"/>
    <w:rsid w:val="5ADAF328"/>
    <w:rsid w:val="5AE9D85B"/>
    <w:rsid w:val="5B07BD37"/>
    <w:rsid w:val="5B2660E7"/>
    <w:rsid w:val="5B36C085"/>
    <w:rsid w:val="5B41CB3A"/>
    <w:rsid w:val="5B4824E1"/>
    <w:rsid w:val="5B876B7B"/>
    <w:rsid w:val="5B8B5451"/>
    <w:rsid w:val="5B8E4336"/>
    <w:rsid w:val="5BC4FA34"/>
    <w:rsid w:val="5BC60CB0"/>
    <w:rsid w:val="5BDA6528"/>
    <w:rsid w:val="5BDB1A9A"/>
    <w:rsid w:val="5C08E7FE"/>
    <w:rsid w:val="5C1A097E"/>
    <w:rsid w:val="5C1F8C34"/>
    <w:rsid w:val="5C292C58"/>
    <w:rsid w:val="5C2B4CE7"/>
    <w:rsid w:val="5C375C3A"/>
    <w:rsid w:val="5C3E7C47"/>
    <w:rsid w:val="5C43A7C9"/>
    <w:rsid w:val="5C5DF97A"/>
    <w:rsid w:val="5C740D66"/>
    <w:rsid w:val="5C750546"/>
    <w:rsid w:val="5C79DD97"/>
    <w:rsid w:val="5C8098F9"/>
    <w:rsid w:val="5C87D1F3"/>
    <w:rsid w:val="5C98F2BB"/>
    <w:rsid w:val="5CA12077"/>
    <w:rsid w:val="5CD1BB8A"/>
    <w:rsid w:val="5CD3C24C"/>
    <w:rsid w:val="5CE684DE"/>
    <w:rsid w:val="5CE957FF"/>
    <w:rsid w:val="5CF515F2"/>
    <w:rsid w:val="5D1601BC"/>
    <w:rsid w:val="5D338974"/>
    <w:rsid w:val="5D549E2D"/>
    <w:rsid w:val="5D561597"/>
    <w:rsid w:val="5D574B27"/>
    <w:rsid w:val="5D5B67F1"/>
    <w:rsid w:val="5D96E477"/>
    <w:rsid w:val="5D9FE3BB"/>
    <w:rsid w:val="5DA3288F"/>
    <w:rsid w:val="5DB0330E"/>
    <w:rsid w:val="5DB3119C"/>
    <w:rsid w:val="5DB4B5CB"/>
    <w:rsid w:val="5DBCDE70"/>
    <w:rsid w:val="5DDEAA05"/>
    <w:rsid w:val="5DE63059"/>
    <w:rsid w:val="5E026334"/>
    <w:rsid w:val="5E0A438E"/>
    <w:rsid w:val="5E3A80D7"/>
    <w:rsid w:val="5E46FD83"/>
    <w:rsid w:val="5E8E3C89"/>
    <w:rsid w:val="5EADACF5"/>
    <w:rsid w:val="5EC95FBF"/>
    <w:rsid w:val="5F17A6C9"/>
    <w:rsid w:val="5F276922"/>
    <w:rsid w:val="5F57B2FE"/>
    <w:rsid w:val="5F6FF570"/>
    <w:rsid w:val="5F8E7B61"/>
    <w:rsid w:val="5FB713CB"/>
    <w:rsid w:val="5FBAEE6F"/>
    <w:rsid w:val="5FCB1BA0"/>
    <w:rsid w:val="5FE1C8D9"/>
    <w:rsid w:val="5FE78DF0"/>
    <w:rsid w:val="6024384A"/>
    <w:rsid w:val="60455E4D"/>
    <w:rsid w:val="6046AFB7"/>
    <w:rsid w:val="604BF007"/>
    <w:rsid w:val="604FDE81"/>
    <w:rsid w:val="60907D56"/>
    <w:rsid w:val="6096246F"/>
    <w:rsid w:val="609915C9"/>
    <w:rsid w:val="60CECEDC"/>
    <w:rsid w:val="60FD645B"/>
    <w:rsid w:val="61029961"/>
    <w:rsid w:val="6103DEDB"/>
    <w:rsid w:val="61300EBC"/>
    <w:rsid w:val="61482CB6"/>
    <w:rsid w:val="614A09AB"/>
    <w:rsid w:val="6159D9F2"/>
    <w:rsid w:val="61894B20"/>
    <w:rsid w:val="61BDCD51"/>
    <w:rsid w:val="61BFE372"/>
    <w:rsid w:val="61DF24A3"/>
    <w:rsid w:val="61E448BB"/>
    <w:rsid w:val="6234BC05"/>
    <w:rsid w:val="6265E48C"/>
    <w:rsid w:val="626FFFA7"/>
    <w:rsid w:val="627BAAC1"/>
    <w:rsid w:val="62873D58"/>
    <w:rsid w:val="62B51730"/>
    <w:rsid w:val="62CCE5CD"/>
    <w:rsid w:val="62CD441C"/>
    <w:rsid w:val="62D53289"/>
    <w:rsid w:val="62EA85FF"/>
    <w:rsid w:val="6338919C"/>
    <w:rsid w:val="6344511F"/>
    <w:rsid w:val="63461957"/>
    <w:rsid w:val="638553BD"/>
    <w:rsid w:val="638AE217"/>
    <w:rsid w:val="638F43B8"/>
    <w:rsid w:val="63DFBC56"/>
    <w:rsid w:val="64029211"/>
    <w:rsid w:val="640C51DC"/>
    <w:rsid w:val="641E0E5F"/>
    <w:rsid w:val="64278207"/>
    <w:rsid w:val="643C0F3E"/>
    <w:rsid w:val="645D1075"/>
    <w:rsid w:val="647F7355"/>
    <w:rsid w:val="647FBEC9"/>
    <w:rsid w:val="6491D045"/>
    <w:rsid w:val="64BD8FA9"/>
    <w:rsid w:val="64CB06D2"/>
    <w:rsid w:val="64D55D00"/>
    <w:rsid w:val="64DAE73F"/>
    <w:rsid w:val="64E3AB95"/>
    <w:rsid w:val="64F4E7F6"/>
    <w:rsid w:val="6524316C"/>
    <w:rsid w:val="6535FC0B"/>
    <w:rsid w:val="6552AB25"/>
    <w:rsid w:val="6554F6F7"/>
    <w:rsid w:val="658112D4"/>
    <w:rsid w:val="65D5E542"/>
    <w:rsid w:val="65F1C19D"/>
    <w:rsid w:val="65F47450"/>
    <w:rsid w:val="6616E7DC"/>
    <w:rsid w:val="661B93CD"/>
    <w:rsid w:val="6623EA59"/>
    <w:rsid w:val="662BCE86"/>
    <w:rsid w:val="663F4BAC"/>
    <w:rsid w:val="664E3351"/>
    <w:rsid w:val="66530625"/>
    <w:rsid w:val="66535E6C"/>
    <w:rsid w:val="66B1331E"/>
    <w:rsid w:val="66DD0763"/>
    <w:rsid w:val="66EF24CE"/>
    <w:rsid w:val="670EB6C3"/>
    <w:rsid w:val="67199EAF"/>
    <w:rsid w:val="673E3574"/>
    <w:rsid w:val="674CE3FF"/>
    <w:rsid w:val="6753BB82"/>
    <w:rsid w:val="67A65E84"/>
    <w:rsid w:val="67CB60A5"/>
    <w:rsid w:val="680CB28E"/>
    <w:rsid w:val="681A2A45"/>
    <w:rsid w:val="68217EF2"/>
    <w:rsid w:val="6825247B"/>
    <w:rsid w:val="6865E591"/>
    <w:rsid w:val="686C516B"/>
    <w:rsid w:val="6880C54A"/>
    <w:rsid w:val="6880E447"/>
    <w:rsid w:val="688792B7"/>
    <w:rsid w:val="689ABADC"/>
    <w:rsid w:val="68BBF66F"/>
    <w:rsid w:val="6905D527"/>
    <w:rsid w:val="696546A6"/>
    <w:rsid w:val="696E51C9"/>
    <w:rsid w:val="6980822B"/>
    <w:rsid w:val="6981DBA6"/>
    <w:rsid w:val="69A1C724"/>
    <w:rsid w:val="69D6FF32"/>
    <w:rsid w:val="69E380E0"/>
    <w:rsid w:val="69E99995"/>
    <w:rsid w:val="6A34CA0B"/>
    <w:rsid w:val="6A354456"/>
    <w:rsid w:val="6A61E76A"/>
    <w:rsid w:val="6AA9B533"/>
    <w:rsid w:val="6ABE0EB3"/>
    <w:rsid w:val="6ABED974"/>
    <w:rsid w:val="6ACDB102"/>
    <w:rsid w:val="6AD38ACD"/>
    <w:rsid w:val="6AE6067D"/>
    <w:rsid w:val="6AE8645D"/>
    <w:rsid w:val="6B086B18"/>
    <w:rsid w:val="6B21C31F"/>
    <w:rsid w:val="6B257ACF"/>
    <w:rsid w:val="6B50F267"/>
    <w:rsid w:val="6B5A63A1"/>
    <w:rsid w:val="6B624B0E"/>
    <w:rsid w:val="6B8D0255"/>
    <w:rsid w:val="6B9E9C33"/>
    <w:rsid w:val="6BAB3507"/>
    <w:rsid w:val="6BD2800F"/>
    <w:rsid w:val="6C046AB2"/>
    <w:rsid w:val="6C1BD763"/>
    <w:rsid w:val="6C449542"/>
    <w:rsid w:val="6C4A5127"/>
    <w:rsid w:val="6C557A8A"/>
    <w:rsid w:val="6C776D0B"/>
    <w:rsid w:val="6CBABCA3"/>
    <w:rsid w:val="6D29CAF1"/>
    <w:rsid w:val="6D2BABB1"/>
    <w:rsid w:val="6D30623D"/>
    <w:rsid w:val="6D3C10AA"/>
    <w:rsid w:val="6D49A0A5"/>
    <w:rsid w:val="6D743732"/>
    <w:rsid w:val="6D87DC44"/>
    <w:rsid w:val="6D927FD9"/>
    <w:rsid w:val="6DA0B023"/>
    <w:rsid w:val="6DA89733"/>
    <w:rsid w:val="6DB7057D"/>
    <w:rsid w:val="6DCFAAA7"/>
    <w:rsid w:val="6E20EEEB"/>
    <w:rsid w:val="6E319623"/>
    <w:rsid w:val="6E72E421"/>
    <w:rsid w:val="6E7709F0"/>
    <w:rsid w:val="6E942A1F"/>
    <w:rsid w:val="6EA1E81E"/>
    <w:rsid w:val="6EA91BDF"/>
    <w:rsid w:val="6ECD8AA8"/>
    <w:rsid w:val="6F23979D"/>
    <w:rsid w:val="6F3E06EC"/>
    <w:rsid w:val="6F70412E"/>
    <w:rsid w:val="6F84F082"/>
    <w:rsid w:val="6F859FDD"/>
    <w:rsid w:val="6F8E6B63"/>
    <w:rsid w:val="6F95C650"/>
    <w:rsid w:val="6F96A7BD"/>
    <w:rsid w:val="6F9F6930"/>
    <w:rsid w:val="6FD4A9F3"/>
    <w:rsid w:val="6FDBC8CB"/>
    <w:rsid w:val="6FF19D28"/>
    <w:rsid w:val="7002211B"/>
    <w:rsid w:val="70133B86"/>
    <w:rsid w:val="702E22DC"/>
    <w:rsid w:val="703F0F9A"/>
    <w:rsid w:val="7070AB01"/>
    <w:rsid w:val="707A1D3F"/>
    <w:rsid w:val="7086B45F"/>
    <w:rsid w:val="7091A8F7"/>
    <w:rsid w:val="709D17A9"/>
    <w:rsid w:val="70AE4996"/>
    <w:rsid w:val="70DE54E6"/>
    <w:rsid w:val="70E7ADCB"/>
    <w:rsid w:val="70F71666"/>
    <w:rsid w:val="7132366A"/>
    <w:rsid w:val="7139CE52"/>
    <w:rsid w:val="716D0EAC"/>
    <w:rsid w:val="717E7681"/>
    <w:rsid w:val="71A2858A"/>
    <w:rsid w:val="71A391C6"/>
    <w:rsid w:val="71CC1D78"/>
    <w:rsid w:val="71DBFB01"/>
    <w:rsid w:val="71DFC1C4"/>
    <w:rsid w:val="71E9D0E6"/>
    <w:rsid w:val="7232F107"/>
    <w:rsid w:val="72402B07"/>
    <w:rsid w:val="72511BFE"/>
    <w:rsid w:val="728D11DF"/>
    <w:rsid w:val="72963DA5"/>
    <w:rsid w:val="72C40332"/>
    <w:rsid w:val="72DDF80E"/>
    <w:rsid w:val="72E9987C"/>
    <w:rsid w:val="72EA64C3"/>
    <w:rsid w:val="733327A3"/>
    <w:rsid w:val="734F77C1"/>
    <w:rsid w:val="736354DE"/>
    <w:rsid w:val="7384B077"/>
    <w:rsid w:val="7390B922"/>
    <w:rsid w:val="73947E42"/>
    <w:rsid w:val="739BEA87"/>
    <w:rsid w:val="73B28B44"/>
    <w:rsid w:val="73CF3DAD"/>
    <w:rsid w:val="73CF898D"/>
    <w:rsid w:val="73EB19E3"/>
    <w:rsid w:val="73EE26BD"/>
    <w:rsid w:val="7402A9C5"/>
    <w:rsid w:val="740710F0"/>
    <w:rsid w:val="74091A47"/>
    <w:rsid w:val="7434E85E"/>
    <w:rsid w:val="7448B719"/>
    <w:rsid w:val="744A4C42"/>
    <w:rsid w:val="74593B29"/>
    <w:rsid w:val="746DF452"/>
    <w:rsid w:val="747585CF"/>
    <w:rsid w:val="749D60F3"/>
    <w:rsid w:val="74C559A0"/>
    <w:rsid w:val="750356FA"/>
    <w:rsid w:val="75131180"/>
    <w:rsid w:val="7513D508"/>
    <w:rsid w:val="75191EAE"/>
    <w:rsid w:val="7519699D"/>
    <w:rsid w:val="755F4852"/>
    <w:rsid w:val="759099F4"/>
    <w:rsid w:val="75BAAE3F"/>
    <w:rsid w:val="75BD5F17"/>
    <w:rsid w:val="75CD11ED"/>
    <w:rsid w:val="7609135D"/>
    <w:rsid w:val="761B191B"/>
    <w:rsid w:val="76317E3C"/>
    <w:rsid w:val="764B2CB6"/>
    <w:rsid w:val="76514A1A"/>
    <w:rsid w:val="76A91B4B"/>
    <w:rsid w:val="76C88319"/>
    <w:rsid w:val="76D8A626"/>
    <w:rsid w:val="7701B830"/>
    <w:rsid w:val="77046D3F"/>
    <w:rsid w:val="771054C0"/>
    <w:rsid w:val="772EA863"/>
    <w:rsid w:val="77355C29"/>
    <w:rsid w:val="7785EB55"/>
    <w:rsid w:val="778BE71D"/>
    <w:rsid w:val="77B09342"/>
    <w:rsid w:val="77BA143D"/>
    <w:rsid w:val="77C6CABF"/>
    <w:rsid w:val="77EC0FD5"/>
    <w:rsid w:val="77EF8B60"/>
    <w:rsid w:val="77F283A4"/>
    <w:rsid w:val="77FFD336"/>
    <w:rsid w:val="782EE04F"/>
    <w:rsid w:val="783189E5"/>
    <w:rsid w:val="78338040"/>
    <w:rsid w:val="787EBEA6"/>
    <w:rsid w:val="7896E914"/>
    <w:rsid w:val="78AAC87D"/>
    <w:rsid w:val="78B2A2EE"/>
    <w:rsid w:val="78BC0B10"/>
    <w:rsid w:val="78C6D220"/>
    <w:rsid w:val="78D61989"/>
    <w:rsid w:val="78D9CFCD"/>
    <w:rsid w:val="792BB7DA"/>
    <w:rsid w:val="794730C5"/>
    <w:rsid w:val="79629B20"/>
    <w:rsid w:val="79C1BE2B"/>
    <w:rsid w:val="79C5068B"/>
    <w:rsid w:val="79CB51CD"/>
    <w:rsid w:val="79CE8439"/>
    <w:rsid w:val="79E10DD5"/>
    <w:rsid w:val="79E52A44"/>
    <w:rsid w:val="79FD8F05"/>
    <w:rsid w:val="7A32B975"/>
    <w:rsid w:val="7A4391A9"/>
    <w:rsid w:val="7A5E9FBD"/>
    <w:rsid w:val="7A670ED3"/>
    <w:rsid w:val="7A7EAC8F"/>
    <w:rsid w:val="7A8F106E"/>
    <w:rsid w:val="7AD13692"/>
    <w:rsid w:val="7B4C509D"/>
    <w:rsid w:val="7B90D90C"/>
    <w:rsid w:val="7BAECFC5"/>
    <w:rsid w:val="7BF867F9"/>
    <w:rsid w:val="7C0DBA86"/>
    <w:rsid w:val="7C131B23"/>
    <w:rsid w:val="7C131F7C"/>
    <w:rsid w:val="7C240A1B"/>
    <w:rsid w:val="7C56C8D0"/>
    <w:rsid w:val="7C6FB946"/>
    <w:rsid w:val="7C709FFB"/>
    <w:rsid w:val="7C7B3C28"/>
    <w:rsid w:val="7C7F1516"/>
    <w:rsid w:val="7CB3597A"/>
    <w:rsid w:val="7CB700EA"/>
    <w:rsid w:val="7CE2A532"/>
    <w:rsid w:val="7CE2E959"/>
    <w:rsid w:val="7D1D476B"/>
    <w:rsid w:val="7D271E33"/>
    <w:rsid w:val="7D2F1607"/>
    <w:rsid w:val="7D33A61C"/>
    <w:rsid w:val="7D445E7B"/>
    <w:rsid w:val="7D5FD4F6"/>
    <w:rsid w:val="7D7929C5"/>
    <w:rsid w:val="7D82F1F3"/>
    <w:rsid w:val="7D949428"/>
    <w:rsid w:val="7DAEEB84"/>
    <w:rsid w:val="7DB5A109"/>
    <w:rsid w:val="7DC8EEC4"/>
    <w:rsid w:val="7DDCA93E"/>
    <w:rsid w:val="7DE9494D"/>
    <w:rsid w:val="7DFC7C07"/>
    <w:rsid w:val="7DFD61E2"/>
    <w:rsid w:val="7E0F8289"/>
    <w:rsid w:val="7E0FFE7A"/>
    <w:rsid w:val="7E13992A"/>
    <w:rsid w:val="7E365027"/>
    <w:rsid w:val="7E821119"/>
    <w:rsid w:val="7EA89EF3"/>
    <w:rsid w:val="7EAE071D"/>
    <w:rsid w:val="7EDD514E"/>
    <w:rsid w:val="7F191A6C"/>
    <w:rsid w:val="7F1B36CC"/>
    <w:rsid w:val="7F2E9C39"/>
    <w:rsid w:val="7F310671"/>
    <w:rsid w:val="7F32489F"/>
    <w:rsid w:val="7F34CDD9"/>
    <w:rsid w:val="7F42D616"/>
    <w:rsid w:val="7F49654E"/>
    <w:rsid w:val="7F54343C"/>
    <w:rsid w:val="7F62C578"/>
    <w:rsid w:val="7F6DF059"/>
    <w:rsid w:val="7F751BD0"/>
    <w:rsid w:val="7F7E6FD9"/>
    <w:rsid w:val="7F883C03"/>
    <w:rsid w:val="7F99B53E"/>
    <w:rsid w:val="7FB8B447"/>
    <w:rsid w:val="7FCA538B"/>
    <w:rsid w:val="7FCD9CB1"/>
    <w:rsid w:val="7FD05890"/>
    <w:rsid w:val="7FD3703B"/>
    <w:rsid w:val="7FD67C6D"/>
    <w:rsid w:val="7FF72A5B"/>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B12CC7"/>
  <w15:chartTrackingRefBased/>
  <w15:docId w15:val="{3FEDFCCC-864A-41F9-8639-B317E3316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Arial"/>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39"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1C3"/>
    <w:pPr>
      <w:spacing w:before="240" w:after="240"/>
    </w:pPr>
    <w:rPr>
      <w:rFonts w:ascii="Franklin Gothic Book" w:hAnsi="Franklin Gothic Book"/>
      <w:sz w:val="22"/>
      <w:szCs w:val="24"/>
    </w:rPr>
  </w:style>
  <w:style w:type="paragraph" w:styleId="Titre1">
    <w:name w:val="heading 1"/>
    <w:basedOn w:val="Normal"/>
    <w:next w:val="Normal"/>
    <w:link w:val="Titre1Car"/>
    <w:uiPriority w:val="9"/>
    <w:qFormat/>
    <w:rsid w:val="00FF3D00"/>
    <w:pPr>
      <w:keepNext/>
      <w:keepLines/>
      <w:spacing w:after="120" w:line="276" w:lineRule="auto"/>
      <w:outlineLvl w:val="0"/>
    </w:pPr>
    <w:rPr>
      <w:rFonts w:ascii="Franklin Gothic Medium" w:eastAsia="MS Gothic" w:hAnsi="Franklin Gothic Medium" w:cs="Times New Roman"/>
      <w:color w:val="1A4066"/>
      <w:sz w:val="36"/>
      <w:szCs w:val="44"/>
    </w:rPr>
  </w:style>
  <w:style w:type="paragraph" w:styleId="Titre2">
    <w:name w:val="heading 2"/>
    <w:basedOn w:val="Normal"/>
    <w:next w:val="Normal"/>
    <w:link w:val="Titre2Car"/>
    <w:autoRedefine/>
    <w:uiPriority w:val="99"/>
    <w:qFormat/>
    <w:rsid w:val="00B21E9C"/>
    <w:pPr>
      <w:keepNext/>
      <w:keepLines/>
      <w:widowControl w:val="0"/>
      <w:numPr>
        <w:numId w:val="2"/>
      </w:numPr>
      <w:suppressAutoHyphens/>
      <w:spacing w:before="480" w:line="264" w:lineRule="auto"/>
      <w:outlineLvl w:val="1"/>
    </w:pPr>
    <w:rPr>
      <w:rFonts w:cs="Calibri"/>
      <w:b/>
      <w:color w:val="165B89"/>
      <w:sz w:val="28"/>
      <w:szCs w:val="26"/>
      <w:lang w:val="fr-FR"/>
    </w:rPr>
  </w:style>
  <w:style w:type="paragraph" w:styleId="Titre3">
    <w:name w:val="heading 3"/>
    <w:basedOn w:val="Normal"/>
    <w:next w:val="Normal"/>
    <w:link w:val="Titre3Car"/>
    <w:uiPriority w:val="9"/>
    <w:rsid w:val="005860F9"/>
    <w:pPr>
      <w:keepNext/>
      <w:keepLines/>
      <w:spacing w:before="40"/>
      <w:outlineLvl w:val="2"/>
    </w:pPr>
    <w:rPr>
      <w:rFonts w:ascii="Calibri" w:eastAsia="MS Gothic" w:hAnsi="Calibri" w:cs="Times New Roman"/>
      <w:color w:val="243F60"/>
    </w:rPr>
  </w:style>
  <w:style w:type="paragraph" w:styleId="Titre4">
    <w:name w:val="heading 4"/>
    <w:basedOn w:val="Normal"/>
    <w:next w:val="Normal"/>
    <w:link w:val="Titre4Car"/>
    <w:uiPriority w:val="9"/>
    <w:rsid w:val="005860F9"/>
    <w:pPr>
      <w:keepNext/>
      <w:keepLines/>
      <w:spacing w:before="40"/>
      <w:outlineLvl w:val="3"/>
    </w:pPr>
    <w:rPr>
      <w:rFonts w:ascii="Calibri" w:eastAsia="MS Gothic" w:hAnsi="Calibri" w:cs="Times New Roman"/>
      <w:i/>
      <w:iCs/>
      <w:color w:val="365F91"/>
    </w:rPr>
  </w:style>
  <w:style w:type="paragraph" w:styleId="Titre5">
    <w:name w:val="heading 5"/>
    <w:basedOn w:val="Normal"/>
    <w:next w:val="Normal"/>
    <w:link w:val="Titre5Car"/>
    <w:uiPriority w:val="9"/>
    <w:rsid w:val="005860F9"/>
    <w:pPr>
      <w:keepNext/>
      <w:keepLines/>
      <w:spacing w:before="40"/>
      <w:outlineLvl w:val="4"/>
    </w:pPr>
    <w:rPr>
      <w:rFonts w:ascii="Calibri" w:eastAsia="MS Gothic" w:hAnsi="Calibri" w:cs="Times New Roman"/>
      <w:color w:val="365F91"/>
    </w:rPr>
  </w:style>
  <w:style w:type="paragraph" w:styleId="Titre6">
    <w:name w:val="heading 6"/>
    <w:basedOn w:val="Normal"/>
    <w:next w:val="Normal"/>
    <w:link w:val="Titre6Car"/>
    <w:uiPriority w:val="9"/>
    <w:rsid w:val="005860F9"/>
    <w:pPr>
      <w:keepNext/>
      <w:keepLines/>
      <w:spacing w:before="40"/>
      <w:outlineLvl w:val="5"/>
    </w:pPr>
    <w:rPr>
      <w:rFonts w:ascii="Calibri" w:eastAsia="MS Gothic" w:hAnsi="Calibri" w:cs="Times New Roman"/>
      <w:color w:val="243F60"/>
    </w:rPr>
  </w:style>
  <w:style w:type="paragraph" w:styleId="Titre7">
    <w:name w:val="heading 7"/>
    <w:basedOn w:val="Normal"/>
    <w:next w:val="Normal"/>
    <w:link w:val="Titre7Car"/>
    <w:uiPriority w:val="9"/>
    <w:rsid w:val="005860F9"/>
    <w:pPr>
      <w:keepNext/>
      <w:keepLines/>
      <w:spacing w:before="40"/>
      <w:outlineLvl w:val="6"/>
    </w:pPr>
    <w:rPr>
      <w:rFonts w:ascii="Calibri" w:eastAsia="MS Gothic" w:hAnsi="Calibri" w:cs="Times New Roman"/>
      <w:i/>
      <w:iCs/>
      <w:color w:val="243F60"/>
    </w:rPr>
  </w:style>
  <w:style w:type="paragraph" w:styleId="Titre8">
    <w:name w:val="heading 8"/>
    <w:basedOn w:val="Normal"/>
    <w:next w:val="Normal"/>
    <w:link w:val="Titre8Car"/>
    <w:uiPriority w:val="9"/>
    <w:rsid w:val="005860F9"/>
    <w:pPr>
      <w:keepNext/>
      <w:keepLines/>
      <w:spacing w:before="40"/>
      <w:outlineLvl w:val="7"/>
    </w:pPr>
    <w:rPr>
      <w:rFonts w:ascii="Calibri" w:eastAsia="MS Gothic" w:hAnsi="Calibri" w:cs="Times New Roman"/>
      <w:color w:val="272727"/>
      <w:sz w:val="21"/>
      <w:szCs w:val="21"/>
    </w:rPr>
  </w:style>
  <w:style w:type="paragraph" w:styleId="Titre9">
    <w:name w:val="heading 9"/>
    <w:basedOn w:val="Normal"/>
    <w:next w:val="Normal"/>
    <w:link w:val="Titre9Car"/>
    <w:uiPriority w:val="9"/>
    <w:rsid w:val="005860F9"/>
    <w:pPr>
      <w:keepNext/>
      <w:keepLines/>
      <w:spacing w:before="40"/>
      <w:outlineLvl w:val="8"/>
    </w:pPr>
    <w:rPr>
      <w:rFonts w:ascii="Calibri" w:eastAsia="MS Gothic" w:hAnsi="Calibri" w:cs="Times New Roman"/>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347D13"/>
    <w:pPr>
      <w:tabs>
        <w:tab w:val="center" w:pos="4320"/>
        <w:tab w:val="right" w:pos="8640"/>
      </w:tabs>
    </w:pPr>
  </w:style>
  <w:style w:type="character" w:customStyle="1" w:styleId="En-tteCar">
    <w:name w:val="En-tête Car"/>
    <w:link w:val="En-tte"/>
    <w:uiPriority w:val="99"/>
    <w:rsid w:val="00347D13"/>
    <w:rPr>
      <w:rFonts w:ascii="Myriad Pro SemiCond" w:eastAsia="Times New Roman" w:hAnsi="Myriad Pro SemiCond" w:cs="Times New Roman"/>
      <w:sz w:val="22"/>
      <w:szCs w:val="22"/>
      <w:lang w:val="en" w:bidi="en-US"/>
    </w:rPr>
  </w:style>
  <w:style w:type="paragraph" w:styleId="Pieddepage">
    <w:name w:val="footer"/>
    <w:basedOn w:val="Normal"/>
    <w:link w:val="PieddepageCar"/>
    <w:rsid w:val="00347D13"/>
    <w:pPr>
      <w:tabs>
        <w:tab w:val="center" w:pos="4320"/>
        <w:tab w:val="right" w:pos="8640"/>
      </w:tabs>
    </w:pPr>
  </w:style>
  <w:style w:type="character" w:customStyle="1" w:styleId="PieddepageCar">
    <w:name w:val="Pied de page Car"/>
    <w:link w:val="Pieddepage"/>
    <w:rsid w:val="00347D13"/>
    <w:rPr>
      <w:rFonts w:ascii="Myriad Pro SemiCond" w:eastAsia="Times New Roman" w:hAnsi="Myriad Pro SemiCond" w:cs="Times New Roman"/>
      <w:sz w:val="22"/>
      <w:szCs w:val="22"/>
      <w:lang w:val="en" w:bidi="en-US"/>
    </w:rPr>
  </w:style>
  <w:style w:type="paragraph" w:styleId="Titre">
    <w:name w:val="Title"/>
    <w:next w:val="Normal"/>
    <w:link w:val="TitreCar"/>
    <w:uiPriority w:val="10"/>
    <w:qFormat/>
    <w:rsid w:val="00921734"/>
    <w:pPr>
      <w:pBdr>
        <w:bottom w:val="single" w:sz="8" w:space="4" w:color="4F81BD"/>
      </w:pBdr>
      <w:spacing w:before="240" w:after="120" w:line="276" w:lineRule="auto"/>
      <w:contextualSpacing/>
    </w:pPr>
    <w:rPr>
      <w:rFonts w:ascii="Franklin Gothic Medium" w:eastAsia="MS Gothic" w:hAnsi="Franklin Gothic Medium" w:cs="Times New Roman"/>
      <w:spacing w:val="-10"/>
      <w:kern w:val="28"/>
      <w:sz w:val="40"/>
      <w:szCs w:val="52"/>
    </w:rPr>
  </w:style>
  <w:style w:type="character" w:customStyle="1" w:styleId="TitreCar">
    <w:name w:val="Titre Car"/>
    <w:link w:val="Titre"/>
    <w:uiPriority w:val="10"/>
    <w:rsid w:val="00921734"/>
    <w:rPr>
      <w:rFonts w:ascii="Franklin Gothic Medium" w:eastAsia="MS Gothic" w:hAnsi="Franklin Gothic Medium" w:cs="Times New Roman"/>
      <w:spacing w:val="-10"/>
      <w:kern w:val="28"/>
      <w:sz w:val="40"/>
      <w:szCs w:val="52"/>
    </w:rPr>
  </w:style>
  <w:style w:type="paragraph" w:customStyle="1" w:styleId="MediumGrid21">
    <w:name w:val="Medium Grid 21"/>
    <w:basedOn w:val="Titre"/>
    <w:link w:val="MediumGrid2Char"/>
    <w:uiPriority w:val="1"/>
    <w:qFormat/>
    <w:rsid w:val="00E90C39"/>
    <w:pPr>
      <w:pBdr>
        <w:bottom w:val="single" w:sz="8" w:space="4" w:color="4EB7E2"/>
      </w:pBdr>
      <w:spacing w:before="360"/>
    </w:pPr>
    <w:rPr>
      <w:sz w:val="44"/>
      <w:szCs w:val="44"/>
    </w:rPr>
  </w:style>
  <w:style w:type="character" w:customStyle="1" w:styleId="MediumGrid2Char">
    <w:name w:val="Medium Grid 2 Char"/>
    <w:link w:val="MediumGrid21"/>
    <w:uiPriority w:val="1"/>
    <w:rsid w:val="00E90C39"/>
    <w:rPr>
      <w:rFonts w:ascii="Franklin Gothic Medium" w:eastAsia="MS Gothic" w:hAnsi="Franklin Gothic Medium" w:cs="Times New Roman"/>
      <w:spacing w:val="-10"/>
      <w:kern w:val="28"/>
      <w:sz w:val="44"/>
      <w:szCs w:val="44"/>
      <w:lang w:val="en"/>
    </w:rPr>
  </w:style>
  <w:style w:type="paragraph" w:styleId="Textedebulles">
    <w:name w:val="Balloon Text"/>
    <w:basedOn w:val="Normal"/>
    <w:link w:val="TextedebullesCar"/>
    <w:uiPriority w:val="99"/>
    <w:semiHidden/>
    <w:unhideWhenUsed/>
    <w:rsid w:val="00347D13"/>
    <w:rPr>
      <w:rFonts w:ascii="Lucida Grande" w:hAnsi="Lucida Grande" w:cs="Lucida Grande"/>
      <w:sz w:val="18"/>
      <w:szCs w:val="18"/>
    </w:rPr>
  </w:style>
  <w:style w:type="character" w:customStyle="1" w:styleId="TextedebullesCar">
    <w:name w:val="Texte de bulles Car"/>
    <w:link w:val="Textedebulles"/>
    <w:uiPriority w:val="99"/>
    <w:semiHidden/>
    <w:rsid w:val="00347D13"/>
    <w:rPr>
      <w:rFonts w:ascii="Lucida Grande" w:eastAsia="Times New Roman" w:hAnsi="Lucida Grande" w:cs="Lucida Grande"/>
      <w:sz w:val="18"/>
      <w:szCs w:val="18"/>
      <w:lang w:val="en" w:bidi="en-US"/>
    </w:rPr>
  </w:style>
  <w:style w:type="character" w:styleId="Lienhypertexte">
    <w:name w:val="Hyperlink"/>
    <w:uiPriority w:val="99"/>
    <w:unhideWhenUsed/>
    <w:rsid w:val="001D605F"/>
    <w:rPr>
      <w:color w:val="0000FF"/>
      <w:u w:val="single"/>
    </w:rPr>
  </w:style>
  <w:style w:type="character" w:customStyle="1" w:styleId="apple-converted-space">
    <w:name w:val="apple-converted-space"/>
    <w:rsid w:val="001D605F"/>
  </w:style>
  <w:style w:type="character" w:customStyle="1" w:styleId="Titre2Car">
    <w:name w:val="Titre 2 Car"/>
    <w:link w:val="Titre2"/>
    <w:uiPriority w:val="99"/>
    <w:rsid w:val="00B21E9C"/>
    <w:rPr>
      <w:rFonts w:ascii="Franklin Gothic Book" w:hAnsi="Franklin Gothic Book" w:cs="Calibri"/>
      <w:b/>
      <w:color w:val="165B89"/>
      <w:sz w:val="28"/>
      <w:szCs w:val="26"/>
      <w:lang w:val="fr-FR"/>
    </w:rPr>
  </w:style>
  <w:style w:type="paragraph" w:customStyle="1" w:styleId="ColorfulList-Accent11">
    <w:name w:val="Colorful List - Accent 11"/>
    <w:basedOn w:val="Normal"/>
    <w:uiPriority w:val="34"/>
    <w:rsid w:val="005860F9"/>
    <w:pPr>
      <w:ind w:left="720"/>
      <w:contextualSpacing/>
    </w:pPr>
  </w:style>
  <w:style w:type="character" w:styleId="Marquedecommentaire">
    <w:name w:val="annotation reference"/>
    <w:uiPriority w:val="99"/>
    <w:semiHidden/>
    <w:unhideWhenUsed/>
    <w:rsid w:val="008C32AA"/>
    <w:rPr>
      <w:sz w:val="16"/>
      <w:szCs w:val="16"/>
    </w:rPr>
  </w:style>
  <w:style w:type="paragraph" w:styleId="Commentaire">
    <w:name w:val="annotation text"/>
    <w:basedOn w:val="Normal"/>
    <w:link w:val="CommentaireCar"/>
    <w:uiPriority w:val="99"/>
    <w:semiHidden/>
    <w:unhideWhenUsed/>
    <w:rsid w:val="008C32AA"/>
    <w:rPr>
      <w:sz w:val="20"/>
      <w:szCs w:val="20"/>
    </w:rPr>
  </w:style>
  <w:style w:type="character" w:customStyle="1" w:styleId="CommentaireCar">
    <w:name w:val="Commentaire Car"/>
    <w:link w:val="Commentaire"/>
    <w:uiPriority w:val="99"/>
    <w:semiHidden/>
    <w:rsid w:val="008C32AA"/>
    <w:rPr>
      <w:rFonts w:ascii="Myriad Pro SemiCond" w:eastAsia="Times New Roman" w:hAnsi="Myriad Pro SemiCond" w:cs="Times New Roman"/>
      <w:sz w:val="20"/>
      <w:szCs w:val="20"/>
      <w:lang w:val="en" w:bidi="en-US"/>
    </w:rPr>
  </w:style>
  <w:style w:type="paragraph" w:styleId="Objetducommentaire">
    <w:name w:val="annotation subject"/>
    <w:basedOn w:val="Commentaire"/>
    <w:next w:val="Commentaire"/>
    <w:link w:val="ObjetducommentaireCar"/>
    <w:uiPriority w:val="99"/>
    <w:semiHidden/>
    <w:unhideWhenUsed/>
    <w:rsid w:val="008C32AA"/>
    <w:rPr>
      <w:b/>
      <w:bCs/>
    </w:rPr>
  </w:style>
  <w:style w:type="character" w:customStyle="1" w:styleId="ObjetducommentaireCar">
    <w:name w:val="Objet du commentaire Car"/>
    <w:link w:val="Objetducommentaire"/>
    <w:uiPriority w:val="99"/>
    <w:semiHidden/>
    <w:rsid w:val="008C32AA"/>
    <w:rPr>
      <w:rFonts w:ascii="Myriad Pro SemiCond" w:eastAsia="Times New Roman" w:hAnsi="Myriad Pro SemiCond" w:cs="Times New Roman"/>
      <w:b/>
      <w:bCs/>
      <w:sz w:val="20"/>
      <w:szCs w:val="20"/>
      <w:lang w:val="en" w:bidi="en-US"/>
    </w:rPr>
  </w:style>
  <w:style w:type="paragraph" w:customStyle="1" w:styleId="ColorfulShading-Accent11">
    <w:name w:val="Colorful Shading - Accent 11"/>
    <w:hidden/>
    <w:uiPriority w:val="99"/>
    <w:semiHidden/>
    <w:rsid w:val="00B129CE"/>
    <w:rPr>
      <w:rFonts w:ascii="Myriad Pro SemiCond" w:eastAsia="Times New Roman" w:hAnsi="Myriad Pro SemiCond" w:cs="Times New Roman"/>
      <w:sz w:val="22"/>
      <w:szCs w:val="22"/>
      <w:lang w:bidi="en-US"/>
    </w:rPr>
  </w:style>
  <w:style w:type="character" w:customStyle="1" w:styleId="Titre1Car">
    <w:name w:val="Titre 1 Car"/>
    <w:link w:val="Titre1"/>
    <w:uiPriority w:val="9"/>
    <w:rsid w:val="00FF3D00"/>
    <w:rPr>
      <w:rFonts w:ascii="Franklin Gothic Medium" w:eastAsia="MS Gothic" w:hAnsi="Franklin Gothic Medium" w:cs="Times New Roman"/>
      <w:color w:val="1A4066"/>
      <w:sz w:val="36"/>
      <w:szCs w:val="44"/>
      <w:lang w:val="en"/>
    </w:rPr>
  </w:style>
  <w:style w:type="paragraph" w:styleId="Lgende">
    <w:name w:val="caption"/>
    <w:basedOn w:val="Normal"/>
    <w:next w:val="Normal"/>
    <w:uiPriority w:val="35"/>
    <w:rsid w:val="005860F9"/>
    <w:pPr>
      <w:spacing w:after="200"/>
    </w:pPr>
    <w:rPr>
      <w:i/>
      <w:iCs/>
      <w:color w:val="1F497D"/>
      <w:sz w:val="18"/>
      <w:szCs w:val="18"/>
    </w:rPr>
  </w:style>
  <w:style w:type="character" w:styleId="Numrodepage">
    <w:name w:val="page number"/>
    <w:basedOn w:val="Policepardfaut"/>
    <w:uiPriority w:val="99"/>
    <w:semiHidden/>
    <w:unhideWhenUsed/>
    <w:rsid w:val="002072AF"/>
  </w:style>
  <w:style w:type="character" w:styleId="Lienhypertextesuivivisit">
    <w:name w:val="FollowedHyperlink"/>
    <w:uiPriority w:val="99"/>
    <w:semiHidden/>
    <w:unhideWhenUsed/>
    <w:rsid w:val="00664C86"/>
    <w:rPr>
      <w:color w:val="800080"/>
      <w:u w:val="single"/>
    </w:rPr>
  </w:style>
  <w:style w:type="character" w:styleId="Mentionnonrsolue">
    <w:name w:val="Unresolved Mention"/>
    <w:uiPriority w:val="99"/>
    <w:unhideWhenUsed/>
    <w:rsid w:val="00664C86"/>
    <w:rPr>
      <w:color w:val="605E5C"/>
      <w:shd w:val="clear" w:color="auto" w:fill="E1DFDD"/>
    </w:rPr>
  </w:style>
  <w:style w:type="character" w:customStyle="1" w:styleId="Titre3Car">
    <w:name w:val="Titre 3 Car"/>
    <w:link w:val="Titre3"/>
    <w:uiPriority w:val="9"/>
    <w:rsid w:val="005860F9"/>
    <w:rPr>
      <w:rFonts w:ascii="Calibri" w:eastAsia="MS Gothic" w:hAnsi="Calibri" w:cs="Times New Roman"/>
      <w:color w:val="243F60"/>
    </w:rPr>
  </w:style>
  <w:style w:type="character" w:customStyle="1" w:styleId="Titre4Car">
    <w:name w:val="Titre 4 Car"/>
    <w:link w:val="Titre4"/>
    <w:uiPriority w:val="9"/>
    <w:semiHidden/>
    <w:rsid w:val="005860F9"/>
    <w:rPr>
      <w:rFonts w:ascii="Calibri" w:eastAsia="MS Gothic" w:hAnsi="Calibri" w:cs="Times New Roman"/>
      <w:i/>
      <w:iCs/>
      <w:color w:val="365F91"/>
    </w:rPr>
  </w:style>
  <w:style w:type="character" w:customStyle="1" w:styleId="Titre5Car">
    <w:name w:val="Titre 5 Car"/>
    <w:link w:val="Titre5"/>
    <w:uiPriority w:val="9"/>
    <w:semiHidden/>
    <w:rsid w:val="005860F9"/>
    <w:rPr>
      <w:rFonts w:ascii="Calibri" w:eastAsia="MS Gothic" w:hAnsi="Calibri" w:cs="Times New Roman"/>
      <w:color w:val="365F91"/>
    </w:rPr>
  </w:style>
  <w:style w:type="character" w:customStyle="1" w:styleId="Titre6Car">
    <w:name w:val="Titre 6 Car"/>
    <w:link w:val="Titre6"/>
    <w:uiPriority w:val="9"/>
    <w:semiHidden/>
    <w:rsid w:val="005860F9"/>
    <w:rPr>
      <w:rFonts w:ascii="Calibri" w:eastAsia="MS Gothic" w:hAnsi="Calibri" w:cs="Times New Roman"/>
      <w:color w:val="243F60"/>
    </w:rPr>
  </w:style>
  <w:style w:type="character" w:customStyle="1" w:styleId="Titre7Car">
    <w:name w:val="Titre 7 Car"/>
    <w:link w:val="Titre7"/>
    <w:uiPriority w:val="9"/>
    <w:semiHidden/>
    <w:rsid w:val="005860F9"/>
    <w:rPr>
      <w:rFonts w:ascii="Calibri" w:eastAsia="MS Gothic" w:hAnsi="Calibri" w:cs="Times New Roman"/>
      <w:i/>
      <w:iCs/>
      <w:color w:val="243F60"/>
    </w:rPr>
  </w:style>
  <w:style w:type="character" w:customStyle="1" w:styleId="Titre8Car">
    <w:name w:val="Titre 8 Car"/>
    <w:link w:val="Titre8"/>
    <w:uiPriority w:val="9"/>
    <w:semiHidden/>
    <w:rsid w:val="005860F9"/>
    <w:rPr>
      <w:rFonts w:ascii="Calibri" w:eastAsia="MS Gothic" w:hAnsi="Calibri" w:cs="Times New Roman"/>
      <w:color w:val="272727"/>
      <w:sz w:val="21"/>
      <w:szCs w:val="21"/>
    </w:rPr>
  </w:style>
  <w:style w:type="character" w:customStyle="1" w:styleId="Titre9Car">
    <w:name w:val="Titre 9 Car"/>
    <w:link w:val="Titre9"/>
    <w:uiPriority w:val="9"/>
    <w:semiHidden/>
    <w:rsid w:val="005860F9"/>
    <w:rPr>
      <w:rFonts w:ascii="Calibri" w:eastAsia="MS Gothic" w:hAnsi="Calibri" w:cs="Times New Roman"/>
      <w:i/>
      <w:iCs/>
      <w:color w:val="272727"/>
      <w:sz w:val="21"/>
      <w:szCs w:val="21"/>
    </w:rPr>
  </w:style>
  <w:style w:type="paragraph" w:styleId="Sous-titre">
    <w:name w:val="Subtitle"/>
    <w:next w:val="Normal"/>
    <w:link w:val="Sous-titreCar"/>
    <w:uiPriority w:val="11"/>
    <w:rsid w:val="005860F9"/>
    <w:pPr>
      <w:numPr>
        <w:ilvl w:val="1"/>
      </w:numPr>
      <w:spacing w:after="160"/>
    </w:pPr>
    <w:rPr>
      <w:rFonts w:eastAsia="MS Mincho"/>
      <w:color w:val="5A5A5A"/>
      <w:spacing w:val="15"/>
      <w:sz w:val="22"/>
      <w:szCs w:val="22"/>
    </w:rPr>
  </w:style>
  <w:style w:type="character" w:customStyle="1" w:styleId="Sous-titreCar">
    <w:name w:val="Sous-titre Car"/>
    <w:link w:val="Sous-titre"/>
    <w:uiPriority w:val="11"/>
    <w:rsid w:val="005860F9"/>
    <w:rPr>
      <w:rFonts w:eastAsia="MS Mincho"/>
      <w:color w:val="5A5A5A"/>
      <w:spacing w:val="15"/>
      <w:sz w:val="22"/>
      <w:szCs w:val="22"/>
    </w:rPr>
  </w:style>
  <w:style w:type="character" w:styleId="lev">
    <w:name w:val="Strong"/>
    <w:uiPriority w:val="22"/>
    <w:qFormat/>
    <w:rsid w:val="005860F9"/>
    <w:rPr>
      <w:b/>
      <w:bCs/>
    </w:rPr>
  </w:style>
  <w:style w:type="character" w:styleId="Accentuation">
    <w:name w:val="Emphasis"/>
    <w:uiPriority w:val="20"/>
    <w:rsid w:val="005860F9"/>
    <w:rPr>
      <w:i/>
      <w:iCs/>
    </w:rPr>
  </w:style>
  <w:style w:type="paragraph" w:customStyle="1" w:styleId="ColorfulGrid-Accent11">
    <w:name w:val="Colorful Grid - Accent 11"/>
    <w:basedOn w:val="Normal"/>
    <w:next w:val="Normal"/>
    <w:link w:val="ColorfulGrid-Accent1Char"/>
    <w:uiPriority w:val="29"/>
    <w:rsid w:val="005860F9"/>
    <w:pPr>
      <w:spacing w:before="200" w:after="160"/>
      <w:ind w:left="864" w:right="864"/>
      <w:jc w:val="center"/>
    </w:pPr>
    <w:rPr>
      <w:i/>
      <w:iCs/>
      <w:color w:val="404040"/>
    </w:rPr>
  </w:style>
  <w:style w:type="character" w:customStyle="1" w:styleId="ColorfulGrid-Accent1Char">
    <w:name w:val="Colorful Grid - Accent 1 Char"/>
    <w:link w:val="ColorfulGrid-Accent11"/>
    <w:uiPriority w:val="29"/>
    <w:rsid w:val="005860F9"/>
    <w:rPr>
      <w:i/>
      <w:iCs/>
      <w:color w:val="404040"/>
    </w:rPr>
  </w:style>
  <w:style w:type="paragraph" w:customStyle="1" w:styleId="LightShading-Accent21">
    <w:name w:val="Light Shading - Accent 21"/>
    <w:basedOn w:val="Normal"/>
    <w:next w:val="Normal"/>
    <w:link w:val="LightShading-Accent2Char"/>
    <w:uiPriority w:val="30"/>
    <w:rsid w:val="005860F9"/>
    <w:pPr>
      <w:pBdr>
        <w:top w:val="single" w:sz="4" w:space="10" w:color="4F81BD"/>
        <w:bottom w:val="single" w:sz="4" w:space="10" w:color="4F81BD"/>
      </w:pBdr>
      <w:spacing w:before="360" w:after="360"/>
      <w:ind w:left="864" w:right="864"/>
      <w:jc w:val="center"/>
    </w:pPr>
    <w:rPr>
      <w:i/>
      <w:iCs/>
      <w:color w:val="4F81BD"/>
    </w:rPr>
  </w:style>
  <w:style w:type="character" w:customStyle="1" w:styleId="LightShading-Accent2Char">
    <w:name w:val="Light Shading - Accent 2 Char"/>
    <w:link w:val="LightShading-Accent21"/>
    <w:uiPriority w:val="30"/>
    <w:rsid w:val="005860F9"/>
    <w:rPr>
      <w:i/>
      <w:iCs/>
      <w:color w:val="4F81BD"/>
    </w:rPr>
  </w:style>
  <w:style w:type="character" w:customStyle="1" w:styleId="PlainTable31">
    <w:name w:val="Plain Table 31"/>
    <w:uiPriority w:val="19"/>
    <w:rsid w:val="005860F9"/>
    <w:rPr>
      <w:i/>
      <w:iCs/>
      <w:color w:val="404040"/>
    </w:rPr>
  </w:style>
  <w:style w:type="character" w:customStyle="1" w:styleId="PlainTable41">
    <w:name w:val="Plain Table 41"/>
    <w:uiPriority w:val="21"/>
    <w:rsid w:val="005860F9"/>
    <w:rPr>
      <w:i/>
      <w:iCs/>
      <w:color w:val="4F81BD"/>
    </w:rPr>
  </w:style>
  <w:style w:type="character" w:customStyle="1" w:styleId="PlainTable51">
    <w:name w:val="Plain Table 51"/>
    <w:uiPriority w:val="31"/>
    <w:rsid w:val="005860F9"/>
    <w:rPr>
      <w:smallCaps/>
      <w:color w:val="5A5A5A"/>
    </w:rPr>
  </w:style>
  <w:style w:type="character" w:customStyle="1" w:styleId="TableGridLight1">
    <w:name w:val="Table Grid Light1"/>
    <w:uiPriority w:val="32"/>
    <w:rsid w:val="005860F9"/>
    <w:rPr>
      <w:b/>
      <w:bCs/>
      <w:smallCaps/>
      <w:color w:val="4F81BD"/>
      <w:spacing w:val="5"/>
    </w:rPr>
  </w:style>
  <w:style w:type="character" w:customStyle="1" w:styleId="GridTable1Light1">
    <w:name w:val="Grid Table 1 Light1"/>
    <w:uiPriority w:val="33"/>
    <w:rsid w:val="005860F9"/>
    <w:rPr>
      <w:b/>
      <w:bCs/>
      <w:i/>
      <w:iCs/>
      <w:spacing w:val="5"/>
    </w:rPr>
  </w:style>
  <w:style w:type="paragraph" w:customStyle="1" w:styleId="GridTable31">
    <w:name w:val="Grid Table 31"/>
    <w:basedOn w:val="Titre1"/>
    <w:next w:val="Normal"/>
    <w:uiPriority w:val="39"/>
    <w:semiHidden/>
    <w:unhideWhenUsed/>
    <w:qFormat/>
    <w:rsid w:val="005860F9"/>
    <w:pPr>
      <w:outlineLvl w:val="9"/>
    </w:pPr>
  </w:style>
  <w:style w:type="paragraph" w:customStyle="1" w:styleId="Header2">
    <w:name w:val="Header 2"/>
    <w:rsid w:val="008820B8"/>
    <w:pPr>
      <w:jc w:val="right"/>
    </w:pPr>
    <w:rPr>
      <w:rFonts w:ascii="Franklin Gothic Book" w:hAnsi="Franklin Gothic Book"/>
      <w:noProof/>
    </w:rPr>
  </w:style>
  <w:style w:type="paragraph" w:customStyle="1" w:styleId="Headerbyline">
    <w:name w:val="Header byline"/>
    <w:basedOn w:val="Normal"/>
    <w:rsid w:val="003C37CC"/>
    <w:pPr>
      <w:jc w:val="right"/>
    </w:pPr>
    <w:rPr>
      <w:noProof/>
      <w:sz w:val="20"/>
      <w:szCs w:val="20"/>
    </w:rPr>
  </w:style>
  <w:style w:type="paragraph" w:customStyle="1" w:styleId="Style1">
    <w:name w:val="Style1"/>
    <w:basedOn w:val="Normal"/>
    <w:autoRedefine/>
    <w:qFormat/>
    <w:rsid w:val="006867A1"/>
    <w:pPr>
      <w:jc w:val="right"/>
    </w:pPr>
    <w:rPr>
      <w:rFonts w:ascii="Franklin Gothic Medium" w:hAnsi="Franklin Gothic Medium"/>
      <w:noProof/>
      <w:sz w:val="20"/>
      <w:szCs w:val="20"/>
    </w:rPr>
  </w:style>
  <w:style w:type="paragraph" w:styleId="Sansinterligne">
    <w:name w:val="No Spacing"/>
    <w:uiPriority w:val="99"/>
    <w:rsid w:val="008820B8"/>
    <w:rPr>
      <w:sz w:val="24"/>
      <w:szCs w:val="24"/>
    </w:rPr>
  </w:style>
  <w:style w:type="character" w:styleId="Titredulivre">
    <w:name w:val="Book Title"/>
    <w:uiPriority w:val="69"/>
    <w:rsid w:val="008820B8"/>
    <w:rPr>
      <w:b/>
      <w:bCs/>
      <w:i/>
      <w:iCs/>
      <w:spacing w:val="5"/>
    </w:rPr>
  </w:style>
  <w:style w:type="paragraph" w:styleId="Citationintense">
    <w:name w:val="Intense Quote"/>
    <w:basedOn w:val="Normal"/>
    <w:next w:val="Normal"/>
    <w:link w:val="CitationintenseCar"/>
    <w:uiPriority w:val="60"/>
    <w:rsid w:val="008820B8"/>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60"/>
    <w:rsid w:val="008820B8"/>
    <w:rPr>
      <w:i/>
      <w:iCs/>
      <w:color w:val="4472C4"/>
      <w:sz w:val="24"/>
      <w:szCs w:val="24"/>
      <w:lang w:val="en"/>
    </w:rPr>
  </w:style>
  <w:style w:type="character" w:styleId="Accentuationlgre">
    <w:name w:val="Subtle Emphasis"/>
    <w:uiPriority w:val="65"/>
    <w:rsid w:val="008820B8"/>
    <w:rPr>
      <w:i/>
      <w:iCs/>
      <w:color w:val="404040"/>
    </w:rPr>
  </w:style>
  <w:style w:type="character" w:styleId="Accentuationintense">
    <w:name w:val="Intense Emphasis"/>
    <w:uiPriority w:val="66"/>
    <w:rsid w:val="008820B8"/>
    <w:rPr>
      <w:i/>
      <w:iCs/>
      <w:color w:val="4472C4"/>
    </w:rPr>
  </w:style>
  <w:style w:type="character" w:styleId="Rfrencelgre">
    <w:name w:val="Subtle Reference"/>
    <w:uiPriority w:val="67"/>
    <w:rsid w:val="008820B8"/>
    <w:rPr>
      <w:smallCaps/>
      <w:color w:val="5A5A5A"/>
    </w:rPr>
  </w:style>
  <w:style w:type="character" w:styleId="Rfrenceintense">
    <w:name w:val="Intense Reference"/>
    <w:uiPriority w:val="68"/>
    <w:rsid w:val="008820B8"/>
    <w:rPr>
      <w:b/>
      <w:bCs/>
      <w:smallCaps/>
      <w:color w:val="4472C4"/>
      <w:spacing w:val="5"/>
    </w:rPr>
  </w:style>
  <w:style w:type="paragraph" w:styleId="Paragraphedeliste">
    <w:name w:val="List Paragraph"/>
    <w:basedOn w:val="Normal"/>
    <w:uiPriority w:val="72"/>
    <w:qFormat/>
    <w:rsid w:val="008820B8"/>
    <w:pPr>
      <w:ind w:left="720"/>
    </w:pPr>
  </w:style>
  <w:style w:type="paragraph" w:styleId="Citation">
    <w:name w:val="Quote"/>
    <w:basedOn w:val="Normal"/>
    <w:next w:val="Normal"/>
    <w:link w:val="CitationCar"/>
    <w:uiPriority w:val="73"/>
    <w:rsid w:val="008820B8"/>
    <w:pPr>
      <w:spacing w:before="200" w:after="160"/>
      <w:ind w:left="864" w:right="864"/>
      <w:jc w:val="center"/>
    </w:pPr>
    <w:rPr>
      <w:i/>
      <w:iCs/>
      <w:color w:val="404040"/>
    </w:rPr>
  </w:style>
  <w:style w:type="character" w:customStyle="1" w:styleId="CitationCar">
    <w:name w:val="Citation Car"/>
    <w:link w:val="Citation"/>
    <w:uiPriority w:val="73"/>
    <w:rsid w:val="008820B8"/>
    <w:rPr>
      <w:i/>
      <w:iCs/>
      <w:color w:val="404040"/>
      <w:sz w:val="24"/>
      <w:szCs w:val="24"/>
      <w:lang w:val="en"/>
    </w:rPr>
  </w:style>
  <w:style w:type="paragraph" w:customStyle="1" w:styleId="MainTitle">
    <w:name w:val="Main Title"/>
    <w:basedOn w:val="MediumGrid21"/>
    <w:qFormat/>
    <w:rsid w:val="006867A1"/>
    <w:pPr>
      <w:pBdr>
        <w:bottom w:val="single" w:sz="8" w:space="4" w:color="1A4066"/>
      </w:pBdr>
    </w:pPr>
  </w:style>
  <w:style w:type="paragraph" w:customStyle="1" w:styleId="SubTitle">
    <w:name w:val="Sub Title"/>
    <w:basedOn w:val="Titre1"/>
    <w:qFormat/>
    <w:rsid w:val="006867A1"/>
    <w:rPr>
      <w:rFonts w:ascii="Franklin Gothic Book" w:hAnsi="Franklin Gothic Book"/>
      <w:b/>
    </w:rPr>
  </w:style>
  <w:style w:type="paragraph" w:customStyle="1" w:styleId="HeaderDate">
    <w:name w:val="Header – Date"/>
    <w:basedOn w:val="Style1"/>
    <w:qFormat/>
    <w:rsid w:val="00F271DC"/>
    <w:pPr>
      <w:spacing w:before="0" w:after="0" w:line="276" w:lineRule="auto"/>
    </w:pPr>
    <w:rPr>
      <w:rFonts w:ascii="Franklin Gothic Book" w:hAnsi="Franklin Gothic Book"/>
      <w:sz w:val="18"/>
      <w:szCs w:val="18"/>
    </w:rPr>
  </w:style>
  <w:style w:type="paragraph" w:customStyle="1" w:styleId="Text">
    <w:name w:val="Text"/>
    <w:basedOn w:val="Normal"/>
    <w:qFormat/>
    <w:rsid w:val="006867A1"/>
    <w:pPr>
      <w:spacing w:after="120" w:line="276" w:lineRule="auto"/>
    </w:pPr>
  </w:style>
  <w:style w:type="paragraph" w:customStyle="1" w:styleId="Quoteinbox">
    <w:name w:val="Quote in box"/>
    <w:basedOn w:val="Text"/>
    <w:qFormat/>
    <w:rsid w:val="006867A1"/>
    <w:pPr>
      <w:spacing w:after="240"/>
      <w:ind w:left="113" w:right="113"/>
    </w:pPr>
    <w:rPr>
      <w:i/>
    </w:rPr>
  </w:style>
  <w:style w:type="paragraph" w:customStyle="1" w:styleId="Captiontext">
    <w:name w:val="Caption text"/>
    <w:basedOn w:val="Normal"/>
    <w:qFormat/>
    <w:rsid w:val="008D1767"/>
    <w:pPr>
      <w:spacing w:before="0" w:after="0" w:line="276" w:lineRule="auto"/>
    </w:pPr>
    <w:rPr>
      <w:i/>
      <w:iCs/>
      <w:color w:val="595959"/>
      <w:sz w:val="18"/>
      <w:szCs w:val="18"/>
    </w:rPr>
  </w:style>
  <w:style w:type="paragraph" w:customStyle="1" w:styleId="TextBold">
    <w:name w:val="Text Bold"/>
    <w:basedOn w:val="Normal"/>
    <w:qFormat/>
    <w:rsid w:val="00315525"/>
    <w:pPr>
      <w:spacing w:after="120" w:line="276" w:lineRule="auto"/>
    </w:pPr>
    <w:rPr>
      <w:b/>
      <w:noProof/>
    </w:rPr>
  </w:style>
  <w:style w:type="paragraph" w:styleId="Notedebasdepage">
    <w:name w:val="footnote text"/>
    <w:basedOn w:val="Normal"/>
    <w:link w:val="NotedebasdepageCar"/>
    <w:uiPriority w:val="99"/>
    <w:semiHidden/>
    <w:unhideWhenUsed/>
    <w:rsid w:val="00DC6B90"/>
    <w:pPr>
      <w:spacing w:before="0" w:after="0"/>
    </w:pPr>
    <w:rPr>
      <w:sz w:val="20"/>
      <w:szCs w:val="20"/>
    </w:rPr>
  </w:style>
  <w:style w:type="character" w:customStyle="1" w:styleId="NotedebasdepageCar">
    <w:name w:val="Note de bas de page Car"/>
    <w:basedOn w:val="Policepardfaut"/>
    <w:link w:val="Notedebasdepage"/>
    <w:uiPriority w:val="99"/>
    <w:semiHidden/>
    <w:rsid w:val="00DC6B90"/>
    <w:rPr>
      <w:rFonts w:ascii="Franklin Gothic Book" w:hAnsi="Franklin Gothic Book"/>
      <w:lang w:val="en"/>
    </w:rPr>
  </w:style>
  <w:style w:type="character" w:styleId="Appelnotedebasdep">
    <w:name w:val="footnote reference"/>
    <w:basedOn w:val="Policepardfaut"/>
    <w:uiPriority w:val="99"/>
    <w:semiHidden/>
    <w:unhideWhenUsed/>
    <w:rsid w:val="00DC6B90"/>
    <w:rPr>
      <w:vertAlign w:val="superscript"/>
    </w:rPr>
  </w:style>
  <w:style w:type="table" w:styleId="Grilledutableau">
    <w:name w:val="Table Grid"/>
    <w:basedOn w:val="TableauNormal"/>
    <w:uiPriority w:val="59"/>
    <w:rsid w:val="007D1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unhideWhenUsed/>
    <w:qFormat/>
    <w:rsid w:val="001548F5"/>
    <w:pPr>
      <w:spacing w:after="0" w:line="259" w:lineRule="auto"/>
      <w:outlineLvl w:val="9"/>
    </w:pPr>
    <w:rPr>
      <w:rFonts w:asciiTheme="majorHAnsi" w:eastAsiaTheme="majorEastAsia" w:hAnsiTheme="majorHAnsi" w:cstheme="majorBidi"/>
      <w:color w:val="2F5496" w:themeColor="accent1" w:themeShade="BF"/>
      <w:sz w:val="32"/>
      <w:szCs w:val="32"/>
    </w:rPr>
  </w:style>
  <w:style w:type="paragraph" w:styleId="TM1">
    <w:name w:val="toc 1"/>
    <w:basedOn w:val="Normal"/>
    <w:next w:val="Normal"/>
    <w:autoRedefine/>
    <w:uiPriority w:val="39"/>
    <w:unhideWhenUsed/>
    <w:rsid w:val="002460B8"/>
    <w:pPr>
      <w:tabs>
        <w:tab w:val="right" w:leader="dot" w:pos="9062"/>
      </w:tabs>
      <w:spacing w:after="100"/>
    </w:pPr>
    <w:rPr>
      <w:b/>
      <w:bCs/>
      <w:noProof/>
    </w:rPr>
  </w:style>
  <w:style w:type="paragraph" w:styleId="TM2">
    <w:name w:val="toc 2"/>
    <w:basedOn w:val="Normal"/>
    <w:next w:val="Normal"/>
    <w:autoRedefine/>
    <w:uiPriority w:val="39"/>
    <w:unhideWhenUsed/>
    <w:rsid w:val="001548F5"/>
    <w:pPr>
      <w:spacing w:after="100"/>
      <w:ind w:left="220"/>
    </w:pPr>
  </w:style>
  <w:style w:type="paragraph" w:styleId="TM3">
    <w:name w:val="toc 3"/>
    <w:basedOn w:val="Normal"/>
    <w:next w:val="Normal"/>
    <w:autoRedefine/>
    <w:uiPriority w:val="39"/>
    <w:unhideWhenUsed/>
    <w:rsid w:val="001548F5"/>
    <w:pPr>
      <w:spacing w:after="100"/>
      <w:ind w:left="440"/>
    </w:pPr>
  </w:style>
  <w:style w:type="paragraph" w:styleId="Rvision">
    <w:name w:val="Revision"/>
    <w:hidden/>
    <w:uiPriority w:val="71"/>
    <w:rsid w:val="00FF2518"/>
    <w:rPr>
      <w:rFonts w:ascii="Franklin Gothic Book" w:hAnsi="Franklin Gothic Book"/>
      <w:sz w:val="22"/>
      <w:szCs w:val="24"/>
    </w:rPr>
  </w:style>
  <w:style w:type="character" w:styleId="Mention">
    <w:name w:val="Mention"/>
    <w:basedOn w:val="Policepardfaut"/>
    <w:uiPriority w:val="99"/>
    <w:unhideWhenUsed/>
    <w:rsid w:val="008B7477"/>
    <w:rPr>
      <w:color w:val="2B579A"/>
      <w:shd w:val="clear" w:color="auto" w:fill="E1DFDD"/>
    </w:rPr>
  </w:style>
  <w:style w:type="paragraph" w:styleId="NormalWeb">
    <w:name w:val="Normal (Web)"/>
    <w:basedOn w:val="Normal"/>
    <w:uiPriority w:val="99"/>
    <w:semiHidden/>
    <w:unhideWhenUsed/>
    <w:rsid w:val="00697696"/>
    <w:rPr>
      <w:rFonts w:ascii="Times New Roman" w:hAnsi="Times New Roman" w:cs="Times New Roman"/>
      <w:sz w:val="24"/>
    </w:rPr>
  </w:style>
  <w:style w:type="table" w:styleId="TableauGrille5Fonc-Accentuation1">
    <w:name w:val="Grid Table 5 Dark Accent 1"/>
    <w:basedOn w:val="TableauNormal"/>
    <w:uiPriority w:val="50"/>
    <w:rsid w:val="000E0FE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leauGrille4-Accentuation1">
    <w:name w:val="Grid Table 4 Accent 1"/>
    <w:basedOn w:val="TableauNormal"/>
    <w:uiPriority w:val="4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5Fonc-Accentuation5">
    <w:name w:val="Grid Table 5 Dark Accent 5"/>
    <w:basedOn w:val="TableauNormal"/>
    <w:uiPriority w:val="50"/>
    <w:rsid w:val="00895E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leauGrille3-Accentuation1">
    <w:name w:val="Grid Table 3 Accent 1"/>
    <w:basedOn w:val="TableauNormal"/>
    <w:uiPriority w:val="48"/>
    <w:rsid w:val="00895E7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leauGrille5Fonc-Accentuation3">
    <w:name w:val="Grid Table 5 Dark Accent 3"/>
    <w:basedOn w:val="TableauNormal"/>
    <w:uiPriority w:val="50"/>
    <w:rsid w:val="00895E7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0920">
      <w:bodyDiv w:val="1"/>
      <w:marLeft w:val="0"/>
      <w:marRight w:val="0"/>
      <w:marTop w:val="0"/>
      <w:marBottom w:val="0"/>
      <w:divBdr>
        <w:top w:val="none" w:sz="0" w:space="0" w:color="auto"/>
        <w:left w:val="none" w:sz="0" w:space="0" w:color="auto"/>
        <w:bottom w:val="none" w:sz="0" w:space="0" w:color="auto"/>
        <w:right w:val="none" w:sz="0" w:space="0" w:color="auto"/>
      </w:divBdr>
    </w:div>
    <w:div w:id="113446314">
      <w:bodyDiv w:val="1"/>
      <w:marLeft w:val="0"/>
      <w:marRight w:val="0"/>
      <w:marTop w:val="0"/>
      <w:marBottom w:val="0"/>
      <w:divBdr>
        <w:top w:val="none" w:sz="0" w:space="0" w:color="auto"/>
        <w:left w:val="none" w:sz="0" w:space="0" w:color="auto"/>
        <w:bottom w:val="none" w:sz="0" w:space="0" w:color="auto"/>
        <w:right w:val="none" w:sz="0" w:space="0" w:color="auto"/>
      </w:divBdr>
    </w:div>
    <w:div w:id="158039396">
      <w:bodyDiv w:val="1"/>
      <w:marLeft w:val="0"/>
      <w:marRight w:val="0"/>
      <w:marTop w:val="0"/>
      <w:marBottom w:val="0"/>
      <w:divBdr>
        <w:top w:val="none" w:sz="0" w:space="0" w:color="auto"/>
        <w:left w:val="none" w:sz="0" w:space="0" w:color="auto"/>
        <w:bottom w:val="none" w:sz="0" w:space="0" w:color="auto"/>
        <w:right w:val="none" w:sz="0" w:space="0" w:color="auto"/>
      </w:divBdr>
    </w:div>
    <w:div w:id="160631671">
      <w:bodyDiv w:val="1"/>
      <w:marLeft w:val="0"/>
      <w:marRight w:val="0"/>
      <w:marTop w:val="0"/>
      <w:marBottom w:val="0"/>
      <w:divBdr>
        <w:top w:val="none" w:sz="0" w:space="0" w:color="auto"/>
        <w:left w:val="none" w:sz="0" w:space="0" w:color="auto"/>
        <w:bottom w:val="none" w:sz="0" w:space="0" w:color="auto"/>
        <w:right w:val="none" w:sz="0" w:space="0" w:color="auto"/>
      </w:divBdr>
    </w:div>
    <w:div w:id="292754713">
      <w:bodyDiv w:val="1"/>
      <w:marLeft w:val="0"/>
      <w:marRight w:val="0"/>
      <w:marTop w:val="0"/>
      <w:marBottom w:val="0"/>
      <w:divBdr>
        <w:top w:val="none" w:sz="0" w:space="0" w:color="auto"/>
        <w:left w:val="none" w:sz="0" w:space="0" w:color="auto"/>
        <w:bottom w:val="none" w:sz="0" w:space="0" w:color="auto"/>
        <w:right w:val="none" w:sz="0" w:space="0" w:color="auto"/>
      </w:divBdr>
    </w:div>
    <w:div w:id="383868319">
      <w:bodyDiv w:val="1"/>
      <w:marLeft w:val="0"/>
      <w:marRight w:val="0"/>
      <w:marTop w:val="0"/>
      <w:marBottom w:val="0"/>
      <w:divBdr>
        <w:top w:val="none" w:sz="0" w:space="0" w:color="auto"/>
        <w:left w:val="none" w:sz="0" w:space="0" w:color="auto"/>
        <w:bottom w:val="none" w:sz="0" w:space="0" w:color="auto"/>
        <w:right w:val="none" w:sz="0" w:space="0" w:color="auto"/>
      </w:divBdr>
    </w:div>
    <w:div w:id="440879681">
      <w:bodyDiv w:val="1"/>
      <w:marLeft w:val="0"/>
      <w:marRight w:val="0"/>
      <w:marTop w:val="0"/>
      <w:marBottom w:val="0"/>
      <w:divBdr>
        <w:top w:val="none" w:sz="0" w:space="0" w:color="auto"/>
        <w:left w:val="none" w:sz="0" w:space="0" w:color="auto"/>
        <w:bottom w:val="none" w:sz="0" w:space="0" w:color="auto"/>
        <w:right w:val="none" w:sz="0" w:space="0" w:color="auto"/>
      </w:divBdr>
    </w:div>
    <w:div w:id="447357078">
      <w:bodyDiv w:val="1"/>
      <w:marLeft w:val="0"/>
      <w:marRight w:val="0"/>
      <w:marTop w:val="0"/>
      <w:marBottom w:val="0"/>
      <w:divBdr>
        <w:top w:val="none" w:sz="0" w:space="0" w:color="auto"/>
        <w:left w:val="none" w:sz="0" w:space="0" w:color="auto"/>
        <w:bottom w:val="none" w:sz="0" w:space="0" w:color="auto"/>
        <w:right w:val="none" w:sz="0" w:space="0" w:color="auto"/>
      </w:divBdr>
      <w:divsChild>
        <w:div w:id="2146967888">
          <w:marLeft w:val="0"/>
          <w:marRight w:val="0"/>
          <w:marTop w:val="0"/>
          <w:marBottom w:val="0"/>
          <w:divBdr>
            <w:top w:val="none" w:sz="0" w:space="0" w:color="auto"/>
            <w:left w:val="none" w:sz="0" w:space="0" w:color="auto"/>
            <w:bottom w:val="none" w:sz="0" w:space="0" w:color="auto"/>
            <w:right w:val="none" w:sz="0" w:space="0" w:color="auto"/>
          </w:divBdr>
        </w:div>
      </w:divsChild>
    </w:div>
    <w:div w:id="454786596">
      <w:bodyDiv w:val="1"/>
      <w:marLeft w:val="0"/>
      <w:marRight w:val="0"/>
      <w:marTop w:val="0"/>
      <w:marBottom w:val="0"/>
      <w:divBdr>
        <w:top w:val="none" w:sz="0" w:space="0" w:color="auto"/>
        <w:left w:val="none" w:sz="0" w:space="0" w:color="auto"/>
        <w:bottom w:val="none" w:sz="0" w:space="0" w:color="auto"/>
        <w:right w:val="none" w:sz="0" w:space="0" w:color="auto"/>
      </w:divBdr>
    </w:div>
    <w:div w:id="559751383">
      <w:bodyDiv w:val="1"/>
      <w:marLeft w:val="0"/>
      <w:marRight w:val="0"/>
      <w:marTop w:val="0"/>
      <w:marBottom w:val="0"/>
      <w:divBdr>
        <w:top w:val="none" w:sz="0" w:space="0" w:color="auto"/>
        <w:left w:val="none" w:sz="0" w:space="0" w:color="auto"/>
        <w:bottom w:val="none" w:sz="0" w:space="0" w:color="auto"/>
        <w:right w:val="none" w:sz="0" w:space="0" w:color="auto"/>
      </w:divBdr>
    </w:div>
    <w:div w:id="608196102">
      <w:bodyDiv w:val="1"/>
      <w:marLeft w:val="0"/>
      <w:marRight w:val="0"/>
      <w:marTop w:val="0"/>
      <w:marBottom w:val="0"/>
      <w:divBdr>
        <w:top w:val="none" w:sz="0" w:space="0" w:color="auto"/>
        <w:left w:val="none" w:sz="0" w:space="0" w:color="auto"/>
        <w:bottom w:val="none" w:sz="0" w:space="0" w:color="auto"/>
        <w:right w:val="none" w:sz="0" w:space="0" w:color="auto"/>
      </w:divBdr>
    </w:div>
    <w:div w:id="648557638">
      <w:bodyDiv w:val="1"/>
      <w:marLeft w:val="0"/>
      <w:marRight w:val="0"/>
      <w:marTop w:val="0"/>
      <w:marBottom w:val="0"/>
      <w:divBdr>
        <w:top w:val="none" w:sz="0" w:space="0" w:color="auto"/>
        <w:left w:val="none" w:sz="0" w:space="0" w:color="auto"/>
        <w:bottom w:val="none" w:sz="0" w:space="0" w:color="auto"/>
        <w:right w:val="none" w:sz="0" w:space="0" w:color="auto"/>
      </w:divBdr>
    </w:div>
    <w:div w:id="699361391">
      <w:bodyDiv w:val="1"/>
      <w:marLeft w:val="0"/>
      <w:marRight w:val="0"/>
      <w:marTop w:val="0"/>
      <w:marBottom w:val="0"/>
      <w:divBdr>
        <w:top w:val="none" w:sz="0" w:space="0" w:color="auto"/>
        <w:left w:val="none" w:sz="0" w:space="0" w:color="auto"/>
        <w:bottom w:val="none" w:sz="0" w:space="0" w:color="auto"/>
        <w:right w:val="none" w:sz="0" w:space="0" w:color="auto"/>
      </w:divBdr>
      <w:divsChild>
        <w:div w:id="216937871">
          <w:marLeft w:val="0"/>
          <w:marRight w:val="0"/>
          <w:marTop w:val="0"/>
          <w:marBottom w:val="0"/>
          <w:divBdr>
            <w:top w:val="none" w:sz="0" w:space="0" w:color="auto"/>
            <w:left w:val="none" w:sz="0" w:space="0" w:color="auto"/>
            <w:bottom w:val="none" w:sz="0" w:space="0" w:color="auto"/>
            <w:right w:val="none" w:sz="0" w:space="0" w:color="auto"/>
          </w:divBdr>
        </w:div>
        <w:div w:id="313536147">
          <w:marLeft w:val="0"/>
          <w:marRight w:val="0"/>
          <w:marTop w:val="0"/>
          <w:marBottom w:val="0"/>
          <w:divBdr>
            <w:top w:val="none" w:sz="0" w:space="0" w:color="auto"/>
            <w:left w:val="none" w:sz="0" w:space="0" w:color="auto"/>
            <w:bottom w:val="none" w:sz="0" w:space="0" w:color="auto"/>
            <w:right w:val="none" w:sz="0" w:space="0" w:color="auto"/>
          </w:divBdr>
        </w:div>
        <w:div w:id="450977241">
          <w:marLeft w:val="0"/>
          <w:marRight w:val="0"/>
          <w:marTop w:val="0"/>
          <w:marBottom w:val="0"/>
          <w:divBdr>
            <w:top w:val="none" w:sz="0" w:space="0" w:color="auto"/>
            <w:left w:val="none" w:sz="0" w:space="0" w:color="auto"/>
            <w:bottom w:val="none" w:sz="0" w:space="0" w:color="auto"/>
            <w:right w:val="none" w:sz="0" w:space="0" w:color="auto"/>
          </w:divBdr>
        </w:div>
        <w:div w:id="571357724">
          <w:marLeft w:val="0"/>
          <w:marRight w:val="0"/>
          <w:marTop w:val="0"/>
          <w:marBottom w:val="0"/>
          <w:divBdr>
            <w:top w:val="none" w:sz="0" w:space="0" w:color="auto"/>
            <w:left w:val="none" w:sz="0" w:space="0" w:color="auto"/>
            <w:bottom w:val="none" w:sz="0" w:space="0" w:color="auto"/>
            <w:right w:val="none" w:sz="0" w:space="0" w:color="auto"/>
          </w:divBdr>
        </w:div>
        <w:div w:id="616568813">
          <w:marLeft w:val="0"/>
          <w:marRight w:val="0"/>
          <w:marTop w:val="0"/>
          <w:marBottom w:val="0"/>
          <w:divBdr>
            <w:top w:val="none" w:sz="0" w:space="0" w:color="auto"/>
            <w:left w:val="none" w:sz="0" w:space="0" w:color="auto"/>
            <w:bottom w:val="none" w:sz="0" w:space="0" w:color="auto"/>
            <w:right w:val="none" w:sz="0" w:space="0" w:color="auto"/>
          </w:divBdr>
        </w:div>
        <w:div w:id="721171036">
          <w:marLeft w:val="0"/>
          <w:marRight w:val="0"/>
          <w:marTop w:val="0"/>
          <w:marBottom w:val="0"/>
          <w:divBdr>
            <w:top w:val="none" w:sz="0" w:space="0" w:color="auto"/>
            <w:left w:val="none" w:sz="0" w:space="0" w:color="auto"/>
            <w:bottom w:val="none" w:sz="0" w:space="0" w:color="auto"/>
            <w:right w:val="none" w:sz="0" w:space="0" w:color="auto"/>
          </w:divBdr>
        </w:div>
        <w:div w:id="1040132266">
          <w:marLeft w:val="0"/>
          <w:marRight w:val="0"/>
          <w:marTop w:val="0"/>
          <w:marBottom w:val="0"/>
          <w:divBdr>
            <w:top w:val="none" w:sz="0" w:space="0" w:color="auto"/>
            <w:left w:val="none" w:sz="0" w:space="0" w:color="auto"/>
            <w:bottom w:val="none" w:sz="0" w:space="0" w:color="auto"/>
            <w:right w:val="none" w:sz="0" w:space="0" w:color="auto"/>
          </w:divBdr>
        </w:div>
        <w:div w:id="1054308501">
          <w:marLeft w:val="0"/>
          <w:marRight w:val="0"/>
          <w:marTop w:val="0"/>
          <w:marBottom w:val="0"/>
          <w:divBdr>
            <w:top w:val="none" w:sz="0" w:space="0" w:color="auto"/>
            <w:left w:val="none" w:sz="0" w:space="0" w:color="auto"/>
            <w:bottom w:val="none" w:sz="0" w:space="0" w:color="auto"/>
            <w:right w:val="none" w:sz="0" w:space="0" w:color="auto"/>
          </w:divBdr>
        </w:div>
        <w:div w:id="1063984759">
          <w:marLeft w:val="0"/>
          <w:marRight w:val="0"/>
          <w:marTop w:val="0"/>
          <w:marBottom w:val="0"/>
          <w:divBdr>
            <w:top w:val="none" w:sz="0" w:space="0" w:color="auto"/>
            <w:left w:val="none" w:sz="0" w:space="0" w:color="auto"/>
            <w:bottom w:val="none" w:sz="0" w:space="0" w:color="auto"/>
            <w:right w:val="none" w:sz="0" w:space="0" w:color="auto"/>
          </w:divBdr>
        </w:div>
        <w:div w:id="1093285553">
          <w:marLeft w:val="0"/>
          <w:marRight w:val="0"/>
          <w:marTop w:val="0"/>
          <w:marBottom w:val="0"/>
          <w:divBdr>
            <w:top w:val="none" w:sz="0" w:space="0" w:color="auto"/>
            <w:left w:val="none" w:sz="0" w:space="0" w:color="auto"/>
            <w:bottom w:val="none" w:sz="0" w:space="0" w:color="auto"/>
            <w:right w:val="none" w:sz="0" w:space="0" w:color="auto"/>
          </w:divBdr>
        </w:div>
        <w:div w:id="1188713061">
          <w:marLeft w:val="0"/>
          <w:marRight w:val="0"/>
          <w:marTop w:val="0"/>
          <w:marBottom w:val="0"/>
          <w:divBdr>
            <w:top w:val="none" w:sz="0" w:space="0" w:color="auto"/>
            <w:left w:val="none" w:sz="0" w:space="0" w:color="auto"/>
            <w:bottom w:val="none" w:sz="0" w:space="0" w:color="auto"/>
            <w:right w:val="none" w:sz="0" w:space="0" w:color="auto"/>
          </w:divBdr>
        </w:div>
        <w:div w:id="1298873009">
          <w:marLeft w:val="0"/>
          <w:marRight w:val="0"/>
          <w:marTop w:val="0"/>
          <w:marBottom w:val="0"/>
          <w:divBdr>
            <w:top w:val="none" w:sz="0" w:space="0" w:color="auto"/>
            <w:left w:val="none" w:sz="0" w:space="0" w:color="auto"/>
            <w:bottom w:val="none" w:sz="0" w:space="0" w:color="auto"/>
            <w:right w:val="none" w:sz="0" w:space="0" w:color="auto"/>
          </w:divBdr>
        </w:div>
        <w:div w:id="1505045749">
          <w:marLeft w:val="0"/>
          <w:marRight w:val="0"/>
          <w:marTop w:val="0"/>
          <w:marBottom w:val="0"/>
          <w:divBdr>
            <w:top w:val="none" w:sz="0" w:space="0" w:color="auto"/>
            <w:left w:val="none" w:sz="0" w:space="0" w:color="auto"/>
            <w:bottom w:val="none" w:sz="0" w:space="0" w:color="auto"/>
            <w:right w:val="none" w:sz="0" w:space="0" w:color="auto"/>
          </w:divBdr>
        </w:div>
        <w:div w:id="1782188814">
          <w:marLeft w:val="0"/>
          <w:marRight w:val="0"/>
          <w:marTop w:val="0"/>
          <w:marBottom w:val="0"/>
          <w:divBdr>
            <w:top w:val="none" w:sz="0" w:space="0" w:color="auto"/>
            <w:left w:val="none" w:sz="0" w:space="0" w:color="auto"/>
            <w:bottom w:val="none" w:sz="0" w:space="0" w:color="auto"/>
            <w:right w:val="none" w:sz="0" w:space="0" w:color="auto"/>
          </w:divBdr>
        </w:div>
        <w:div w:id="1942488535">
          <w:marLeft w:val="0"/>
          <w:marRight w:val="0"/>
          <w:marTop w:val="0"/>
          <w:marBottom w:val="0"/>
          <w:divBdr>
            <w:top w:val="none" w:sz="0" w:space="0" w:color="auto"/>
            <w:left w:val="none" w:sz="0" w:space="0" w:color="auto"/>
            <w:bottom w:val="none" w:sz="0" w:space="0" w:color="auto"/>
            <w:right w:val="none" w:sz="0" w:space="0" w:color="auto"/>
          </w:divBdr>
        </w:div>
        <w:div w:id="1947077614">
          <w:marLeft w:val="0"/>
          <w:marRight w:val="0"/>
          <w:marTop w:val="0"/>
          <w:marBottom w:val="0"/>
          <w:divBdr>
            <w:top w:val="none" w:sz="0" w:space="0" w:color="auto"/>
            <w:left w:val="none" w:sz="0" w:space="0" w:color="auto"/>
            <w:bottom w:val="none" w:sz="0" w:space="0" w:color="auto"/>
            <w:right w:val="none" w:sz="0" w:space="0" w:color="auto"/>
          </w:divBdr>
        </w:div>
        <w:div w:id="2018116573">
          <w:marLeft w:val="0"/>
          <w:marRight w:val="0"/>
          <w:marTop w:val="0"/>
          <w:marBottom w:val="0"/>
          <w:divBdr>
            <w:top w:val="none" w:sz="0" w:space="0" w:color="auto"/>
            <w:left w:val="none" w:sz="0" w:space="0" w:color="auto"/>
            <w:bottom w:val="none" w:sz="0" w:space="0" w:color="auto"/>
            <w:right w:val="none" w:sz="0" w:space="0" w:color="auto"/>
          </w:divBdr>
        </w:div>
      </w:divsChild>
    </w:div>
    <w:div w:id="729497797">
      <w:bodyDiv w:val="1"/>
      <w:marLeft w:val="0"/>
      <w:marRight w:val="0"/>
      <w:marTop w:val="0"/>
      <w:marBottom w:val="0"/>
      <w:divBdr>
        <w:top w:val="none" w:sz="0" w:space="0" w:color="auto"/>
        <w:left w:val="none" w:sz="0" w:space="0" w:color="auto"/>
        <w:bottom w:val="none" w:sz="0" w:space="0" w:color="auto"/>
        <w:right w:val="none" w:sz="0" w:space="0" w:color="auto"/>
      </w:divBdr>
    </w:div>
    <w:div w:id="807429850">
      <w:bodyDiv w:val="1"/>
      <w:marLeft w:val="0"/>
      <w:marRight w:val="0"/>
      <w:marTop w:val="0"/>
      <w:marBottom w:val="0"/>
      <w:divBdr>
        <w:top w:val="none" w:sz="0" w:space="0" w:color="auto"/>
        <w:left w:val="none" w:sz="0" w:space="0" w:color="auto"/>
        <w:bottom w:val="none" w:sz="0" w:space="0" w:color="auto"/>
        <w:right w:val="none" w:sz="0" w:space="0" w:color="auto"/>
      </w:divBdr>
    </w:div>
    <w:div w:id="822892835">
      <w:bodyDiv w:val="1"/>
      <w:marLeft w:val="0"/>
      <w:marRight w:val="0"/>
      <w:marTop w:val="0"/>
      <w:marBottom w:val="0"/>
      <w:divBdr>
        <w:top w:val="none" w:sz="0" w:space="0" w:color="auto"/>
        <w:left w:val="none" w:sz="0" w:space="0" w:color="auto"/>
        <w:bottom w:val="none" w:sz="0" w:space="0" w:color="auto"/>
        <w:right w:val="none" w:sz="0" w:space="0" w:color="auto"/>
      </w:divBdr>
    </w:div>
    <w:div w:id="979042822">
      <w:bodyDiv w:val="1"/>
      <w:marLeft w:val="0"/>
      <w:marRight w:val="0"/>
      <w:marTop w:val="0"/>
      <w:marBottom w:val="0"/>
      <w:divBdr>
        <w:top w:val="none" w:sz="0" w:space="0" w:color="auto"/>
        <w:left w:val="none" w:sz="0" w:space="0" w:color="auto"/>
        <w:bottom w:val="none" w:sz="0" w:space="0" w:color="auto"/>
        <w:right w:val="none" w:sz="0" w:space="0" w:color="auto"/>
      </w:divBdr>
    </w:div>
    <w:div w:id="1004823587">
      <w:bodyDiv w:val="1"/>
      <w:marLeft w:val="0"/>
      <w:marRight w:val="0"/>
      <w:marTop w:val="0"/>
      <w:marBottom w:val="0"/>
      <w:divBdr>
        <w:top w:val="none" w:sz="0" w:space="0" w:color="auto"/>
        <w:left w:val="none" w:sz="0" w:space="0" w:color="auto"/>
        <w:bottom w:val="none" w:sz="0" w:space="0" w:color="auto"/>
        <w:right w:val="none" w:sz="0" w:space="0" w:color="auto"/>
      </w:divBdr>
      <w:divsChild>
        <w:div w:id="24336180">
          <w:marLeft w:val="0"/>
          <w:marRight w:val="0"/>
          <w:marTop w:val="0"/>
          <w:marBottom w:val="0"/>
          <w:divBdr>
            <w:top w:val="none" w:sz="0" w:space="0" w:color="auto"/>
            <w:left w:val="none" w:sz="0" w:space="0" w:color="auto"/>
            <w:bottom w:val="none" w:sz="0" w:space="0" w:color="auto"/>
            <w:right w:val="none" w:sz="0" w:space="0" w:color="auto"/>
          </w:divBdr>
        </w:div>
        <w:div w:id="229002841">
          <w:marLeft w:val="0"/>
          <w:marRight w:val="0"/>
          <w:marTop w:val="0"/>
          <w:marBottom w:val="0"/>
          <w:divBdr>
            <w:top w:val="none" w:sz="0" w:space="0" w:color="auto"/>
            <w:left w:val="none" w:sz="0" w:space="0" w:color="auto"/>
            <w:bottom w:val="none" w:sz="0" w:space="0" w:color="auto"/>
            <w:right w:val="none" w:sz="0" w:space="0" w:color="auto"/>
          </w:divBdr>
        </w:div>
        <w:div w:id="670984266">
          <w:marLeft w:val="0"/>
          <w:marRight w:val="0"/>
          <w:marTop w:val="0"/>
          <w:marBottom w:val="0"/>
          <w:divBdr>
            <w:top w:val="none" w:sz="0" w:space="0" w:color="auto"/>
            <w:left w:val="none" w:sz="0" w:space="0" w:color="auto"/>
            <w:bottom w:val="none" w:sz="0" w:space="0" w:color="auto"/>
            <w:right w:val="none" w:sz="0" w:space="0" w:color="auto"/>
          </w:divBdr>
        </w:div>
      </w:divsChild>
    </w:div>
    <w:div w:id="1033844972">
      <w:bodyDiv w:val="1"/>
      <w:marLeft w:val="0"/>
      <w:marRight w:val="0"/>
      <w:marTop w:val="0"/>
      <w:marBottom w:val="0"/>
      <w:divBdr>
        <w:top w:val="none" w:sz="0" w:space="0" w:color="auto"/>
        <w:left w:val="none" w:sz="0" w:space="0" w:color="auto"/>
        <w:bottom w:val="none" w:sz="0" w:space="0" w:color="auto"/>
        <w:right w:val="none" w:sz="0" w:space="0" w:color="auto"/>
      </w:divBdr>
    </w:div>
    <w:div w:id="1315722415">
      <w:bodyDiv w:val="1"/>
      <w:marLeft w:val="0"/>
      <w:marRight w:val="0"/>
      <w:marTop w:val="0"/>
      <w:marBottom w:val="0"/>
      <w:divBdr>
        <w:top w:val="none" w:sz="0" w:space="0" w:color="auto"/>
        <w:left w:val="none" w:sz="0" w:space="0" w:color="auto"/>
        <w:bottom w:val="none" w:sz="0" w:space="0" w:color="auto"/>
        <w:right w:val="none" w:sz="0" w:space="0" w:color="auto"/>
      </w:divBdr>
    </w:div>
    <w:div w:id="1355422428">
      <w:bodyDiv w:val="1"/>
      <w:marLeft w:val="0"/>
      <w:marRight w:val="0"/>
      <w:marTop w:val="0"/>
      <w:marBottom w:val="0"/>
      <w:divBdr>
        <w:top w:val="none" w:sz="0" w:space="0" w:color="auto"/>
        <w:left w:val="none" w:sz="0" w:space="0" w:color="auto"/>
        <w:bottom w:val="none" w:sz="0" w:space="0" w:color="auto"/>
        <w:right w:val="none" w:sz="0" w:space="0" w:color="auto"/>
      </w:divBdr>
    </w:div>
    <w:div w:id="1443570872">
      <w:bodyDiv w:val="1"/>
      <w:marLeft w:val="0"/>
      <w:marRight w:val="0"/>
      <w:marTop w:val="0"/>
      <w:marBottom w:val="0"/>
      <w:divBdr>
        <w:top w:val="none" w:sz="0" w:space="0" w:color="auto"/>
        <w:left w:val="none" w:sz="0" w:space="0" w:color="auto"/>
        <w:bottom w:val="none" w:sz="0" w:space="0" w:color="auto"/>
        <w:right w:val="none" w:sz="0" w:space="0" w:color="auto"/>
      </w:divBdr>
    </w:div>
    <w:div w:id="1488210016">
      <w:bodyDiv w:val="1"/>
      <w:marLeft w:val="0"/>
      <w:marRight w:val="0"/>
      <w:marTop w:val="0"/>
      <w:marBottom w:val="0"/>
      <w:divBdr>
        <w:top w:val="none" w:sz="0" w:space="0" w:color="auto"/>
        <w:left w:val="none" w:sz="0" w:space="0" w:color="auto"/>
        <w:bottom w:val="none" w:sz="0" w:space="0" w:color="auto"/>
        <w:right w:val="none" w:sz="0" w:space="0" w:color="auto"/>
      </w:divBdr>
    </w:div>
    <w:div w:id="1537087530">
      <w:bodyDiv w:val="1"/>
      <w:marLeft w:val="0"/>
      <w:marRight w:val="0"/>
      <w:marTop w:val="0"/>
      <w:marBottom w:val="0"/>
      <w:divBdr>
        <w:top w:val="none" w:sz="0" w:space="0" w:color="auto"/>
        <w:left w:val="none" w:sz="0" w:space="0" w:color="auto"/>
        <w:bottom w:val="none" w:sz="0" w:space="0" w:color="auto"/>
        <w:right w:val="none" w:sz="0" w:space="0" w:color="auto"/>
      </w:divBdr>
    </w:div>
    <w:div w:id="1597597478">
      <w:bodyDiv w:val="1"/>
      <w:marLeft w:val="0"/>
      <w:marRight w:val="0"/>
      <w:marTop w:val="0"/>
      <w:marBottom w:val="0"/>
      <w:divBdr>
        <w:top w:val="none" w:sz="0" w:space="0" w:color="auto"/>
        <w:left w:val="none" w:sz="0" w:space="0" w:color="auto"/>
        <w:bottom w:val="none" w:sz="0" w:space="0" w:color="auto"/>
        <w:right w:val="none" w:sz="0" w:space="0" w:color="auto"/>
      </w:divBdr>
      <w:divsChild>
        <w:div w:id="2706126">
          <w:marLeft w:val="0"/>
          <w:marRight w:val="0"/>
          <w:marTop w:val="0"/>
          <w:marBottom w:val="0"/>
          <w:divBdr>
            <w:top w:val="none" w:sz="0" w:space="0" w:color="auto"/>
            <w:left w:val="none" w:sz="0" w:space="0" w:color="auto"/>
            <w:bottom w:val="none" w:sz="0" w:space="0" w:color="auto"/>
            <w:right w:val="none" w:sz="0" w:space="0" w:color="auto"/>
          </w:divBdr>
        </w:div>
        <w:div w:id="505633237">
          <w:marLeft w:val="0"/>
          <w:marRight w:val="0"/>
          <w:marTop w:val="0"/>
          <w:marBottom w:val="0"/>
          <w:divBdr>
            <w:top w:val="none" w:sz="0" w:space="0" w:color="auto"/>
            <w:left w:val="none" w:sz="0" w:space="0" w:color="auto"/>
            <w:bottom w:val="none" w:sz="0" w:space="0" w:color="auto"/>
            <w:right w:val="none" w:sz="0" w:space="0" w:color="auto"/>
          </w:divBdr>
        </w:div>
        <w:div w:id="784737485">
          <w:marLeft w:val="0"/>
          <w:marRight w:val="0"/>
          <w:marTop w:val="0"/>
          <w:marBottom w:val="0"/>
          <w:divBdr>
            <w:top w:val="none" w:sz="0" w:space="0" w:color="auto"/>
            <w:left w:val="none" w:sz="0" w:space="0" w:color="auto"/>
            <w:bottom w:val="none" w:sz="0" w:space="0" w:color="auto"/>
            <w:right w:val="none" w:sz="0" w:space="0" w:color="auto"/>
          </w:divBdr>
        </w:div>
        <w:div w:id="921527028">
          <w:marLeft w:val="0"/>
          <w:marRight w:val="0"/>
          <w:marTop w:val="0"/>
          <w:marBottom w:val="0"/>
          <w:divBdr>
            <w:top w:val="none" w:sz="0" w:space="0" w:color="auto"/>
            <w:left w:val="none" w:sz="0" w:space="0" w:color="auto"/>
            <w:bottom w:val="none" w:sz="0" w:space="0" w:color="auto"/>
            <w:right w:val="none" w:sz="0" w:space="0" w:color="auto"/>
          </w:divBdr>
        </w:div>
        <w:div w:id="986713925">
          <w:marLeft w:val="0"/>
          <w:marRight w:val="0"/>
          <w:marTop w:val="0"/>
          <w:marBottom w:val="0"/>
          <w:divBdr>
            <w:top w:val="none" w:sz="0" w:space="0" w:color="auto"/>
            <w:left w:val="none" w:sz="0" w:space="0" w:color="auto"/>
            <w:bottom w:val="none" w:sz="0" w:space="0" w:color="auto"/>
            <w:right w:val="none" w:sz="0" w:space="0" w:color="auto"/>
          </w:divBdr>
        </w:div>
        <w:div w:id="1398548878">
          <w:marLeft w:val="0"/>
          <w:marRight w:val="0"/>
          <w:marTop w:val="0"/>
          <w:marBottom w:val="0"/>
          <w:divBdr>
            <w:top w:val="none" w:sz="0" w:space="0" w:color="auto"/>
            <w:left w:val="none" w:sz="0" w:space="0" w:color="auto"/>
            <w:bottom w:val="none" w:sz="0" w:space="0" w:color="auto"/>
            <w:right w:val="none" w:sz="0" w:space="0" w:color="auto"/>
          </w:divBdr>
        </w:div>
        <w:div w:id="1405444294">
          <w:marLeft w:val="0"/>
          <w:marRight w:val="0"/>
          <w:marTop w:val="0"/>
          <w:marBottom w:val="0"/>
          <w:divBdr>
            <w:top w:val="none" w:sz="0" w:space="0" w:color="auto"/>
            <w:left w:val="none" w:sz="0" w:space="0" w:color="auto"/>
            <w:bottom w:val="none" w:sz="0" w:space="0" w:color="auto"/>
            <w:right w:val="none" w:sz="0" w:space="0" w:color="auto"/>
          </w:divBdr>
        </w:div>
        <w:div w:id="1506507150">
          <w:marLeft w:val="0"/>
          <w:marRight w:val="0"/>
          <w:marTop w:val="0"/>
          <w:marBottom w:val="0"/>
          <w:divBdr>
            <w:top w:val="none" w:sz="0" w:space="0" w:color="auto"/>
            <w:left w:val="none" w:sz="0" w:space="0" w:color="auto"/>
            <w:bottom w:val="none" w:sz="0" w:space="0" w:color="auto"/>
            <w:right w:val="none" w:sz="0" w:space="0" w:color="auto"/>
          </w:divBdr>
        </w:div>
        <w:div w:id="1553037943">
          <w:marLeft w:val="0"/>
          <w:marRight w:val="0"/>
          <w:marTop w:val="0"/>
          <w:marBottom w:val="0"/>
          <w:divBdr>
            <w:top w:val="none" w:sz="0" w:space="0" w:color="auto"/>
            <w:left w:val="none" w:sz="0" w:space="0" w:color="auto"/>
            <w:bottom w:val="none" w:sz="0" w:space="0" w:color="auto"/>
            <w:right w:val="none" w:sz="0" w:space="0" w:color="auto"/>
          </w:divBdr>
        </w:div>
        <w:div w:id="1584223974">
          <w:marLeft w:val="0"/>
          <w:marRight w:val="0"/>
          <w:marTop w:val="0"/>
          <w:marBottom w:val="0"/>
          <w:divBdr>
            <w:top w:val="none" w:sz="0" w:space="0" w:color="auto"/>
            <w:left w:val="none" w:sz="0" w:space="0" w:color="auto"/>
            <w:bottom w:val="none" w:sz="0" w:space="0" w:color="auto"/>
            <w:right w:val="none" w:sz="0" w:space="0" w:color="auto"/>
          </w:divBdr>
        </w:div>
        <w:div w:id="1615479125">
          <w:marLeft w:val="0"/>
          <w:marRight w:val="0"/>
          <w:marTop w:val="0"/>
          <w:marBottom w:val="0"/>
          <w:divBdr>
            <w:top w:val="none" w:sz="0" w:space="0" w:color="auto"/>
            <w:left w:val="none" w:sz="0" w:space="0" w:color="auto"/>
            <w:bottom w:val="none" w:sz="0" w:space="0" w:color="auto"/>
            <w:right w:val="none" w:sz="0" w:space="0" w:color="auto"/>
          </w:divBdr>
        </w:div>
        <w:div w:id="1625768888">
          <w:marLeft w:val="0"/>
          <w:marRight w:val="0"/>
          <w:marTop w:val="0"/>
          <w:marBottom w:val="0"/>
          <w:divBdr>
            <w:top w:val="none" w:sz="0" w:space="0" w:color="auto"/>
            <w:left w:val="none" w:sz="0" w:space="0" w:color="auto"/>
            <w:bottom w:val="none" w:sz="0" w:space="0" w:color="auto"/>
            <w:right w:val="none" w:sz="0" w:space="0" w:color="auto"/>
          </w:divBdr>
        </w:div>
        <w:div w:id="1631469527">
          <w:marLeft w:val="0"/>
          <w:marRight w:val="0"/>
          <w:marTop w:val="0"/>
          <w:marBottom w:val="0"/>
          <w:divBdr>
            <w:top w:val="none" w:sz="0" w:space="0" w:color="auto"/>
            <w:left w:val="none" w:sz="0" w:space="0" w:color="auto"/>
            <w:bottom w:val="none" w:sz="0" w:space="0" w:color="auto"/>
            <w:right w:val="none" w:sz="0" w:space="0" w:color="auto"/>
          </w:divBdr>
        </w:div>
        <w:div w:id="1679111935">
          <w:marLeft w:val="0"/>
          <w:marRight w:val="0"/>
          <w:marTop w:val="0"/>
          <w:marBottom w:val="0"/>
          <w:divBdr>
            <w:top w:val="none" w:sz="0" w:space="0" w:color="auto"/>
            <w:left w:val="none" w:sz="0" w:space="0" w:color="auto"/>
            <w:bottom w:val="none" w:sz="0" w:space="0" w:color="auto"/>
            <w:right w:val="none" w:sz="0" w:space="0" w:color="auto"/>
          </w:divBdr>
        </w:div>
        <w:div w:id="1717773290">
          <w:marLeft w:val="0"/>
          <w:marRight w:val="0"/>
          <w:marTop w:val="0"/>
          <w:marBottom w:val="0"/>
          <w:divBdr>
            <w:top w:val="none" w:sz="0" w:space="0" w:color="auto"/>
            <w:left w:val="none" w:sz="0" w:space="0" w:color="auto"/>
            <w:bottom w:val="none" w:sz="0" w:space="0" w:color="auto"/>
            <w:right w:val="none" w:sz="0" w:space="0" w:color="auto"/>
          </w:divBdr>
        </w:div>
        <w:div w:id="1802573072">
          <w:marLeft w:val="0"/>
          <w:marRight w:val="0"/>
          <w:marTop w:val="0"/>
          <w:marBottom w:val="0"/>
          <w:divBdr>
            <w:top w:val="none" w:sz="0" w:space="0" w:color="auto"/>
            <w:left w:val="none" w:sz="0" w:space="0" w:color="auto"/>
            <w:bottom w:val="none" w:sz="0" w:space="0" w:color="auto"/>
            <w:right w:val="none" w:sz="0" w:space="0" w:color="auto"/>
          </w:divBdr>
        </w:div>
        <w:div w:id="2017072022">
          <w:marLeft w:val="0"/>
          <w:marRight w:val="0"/>
          <w:marTop w:val="0"/>
          <w:marBottom w:val="0"/>
          <w:divBdr>
            <w:top w:val="none" w:sz="0" w:space="0" w:color="auto"/>
            <w:left w:val="none" w:sz="0" w:space="0" w:color="auto"/>
            <w:bottom w:val="none" w:sz="0" w:space="0" w:color="auto"/>
            <w:right w:val="none" w:sz="0" w:space="0" w:color="auto"/>
          </w:divBdr>
        </w:div>
      </w:divsChild>
    </w:div>
    <w:div w:id="1657997305">
      <w:bodyDiv w:val="1"/>
      <w:marLeft w:val="0"/>
      <w:marRight w:val="0"/>
      <w:marTop w:val="0"/>
      <w:marBottom w:val="0"/>
      <w:divBdr>
        <w:top w:val="none" w:sz="0" w:space="0" w:color="auto"/>
        <w:left w:val="none" w:sz="0" w:space="0" w:color="auto"/>
        <w:bottom w:val="none" w:sz="0" w:space="0" w:color="auto"/>
        <w:right w:val="none" w:sz="0" w:space="0" w:color="auto"/>
      </w:divBdr>
    </w:div>
    <w:div w:id="1862820981">
      <w:bodyDiv w:val="1"/>
      <w:marLeft w:val="0"/>
      <w:marRight w:val="0"/>
      <w:marTop w:val="0"/>
      <w:marBottom w:val="0"/>
      <w:divBdr>
        <w:top w:val="none" w:sz="0" w:space="0" w:color="auto"/>
        <w:left w:val="none" w:sz="0" w:space="0" w:color="auto"/>
        <w:bottom w:val="none" w:sz="0" w:space="0" w:color="auto"/>
        <w:right w:val="none" w:sz="0" w:space="0" w:color="auto"/>
      </w:divBdr>
    </w:div>
    <w:div w:id="2029522373">
      <w:bodyDiv w:val="1"/>
      <w:marLeft w:val="0"/>
      <w:marRight w:val="0"/>
      <w:marTop w:val="0"/>
      <w:marBottom w:val="0"/>
      <w:divBdr>
        <w:top w:val="none" w:sz="0" w:space="0" w:color="auto"/>
        <w:left w:val="none" w:sz="0" w:space="0" w:color="auto"/>
        <w:bottom w:val="none" w:sz="0" w:space="0" w:color="auto"/>
        <w:right w:val="none" w:sz="0" w:space="0" w:color="auto"/>
      </w:divBdr>
    </w:div>
    <w:div w:id="2039508344">
      <w:bodyDiv w:val="1"/>
      <w:marLeft w:val="0"/>
      <w:marRight w:val="0"/>
      <w:marTop w:val="0"/>
      <w:marBottom w:val="0"/>
      <w:divBdr>
        <w:top w:val="none" w:sz="0" w:space="0" w:color="auto"/>
        <w:left w:val="none" w:sz="0" w:space="0" w:color="auto"/>
        <w:bottom w:val="none" w:sz="0" w:space="0" w:color="auto"/>
        <w:right w:val="none" w:sz="0" w:space="0" w:color="auto"/>
      </w:divBdr>
    </w:div>
    <w:div w:id="212658040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onlinedoctranslator.com/fr/?utm_source=onlinedoctranslator&amp;utm_medium=docx&amp;utm_campaign=attribution" TargetMode="External"/><Relationship Id="rId18" Type="http://schemas.openxmlformats.org/officeDocument/2006/relationships/hyperlink" Target="https://thedocs.worldbank.org/en/doc/18675f1d1639c7a34d463f59263ba0a2-0050012025/related/CMO-Historical-Data-Annual.xlsx" TargetMode="External"/><Relationship Id="rId26" Type="http://schemas.openxmlformats.org/officeDocument/2006/relationships/hyperlink" Target="https://www.riotinto.com/en/invest/presentations/2023/copper-simandou-investor-seminar-2023" TargetMode="External"/><Relationship Id="rId39" Type="http://schemas.openxmlformats.org/officeDocument/2006/relationships/hyperlink" Target="https://cdn-rio.dataweavers.io/-/media/content/documents/invest/presentations/2023/rt-investor-seminar-2023-slides.pdf?rev=44327959c56646438e95a7cc821cb844" TargetMode="External"/><Relationship Id="rId21" Type="http://schemas.openxmlformats.org/officeDocument/2006/relationships/hyperlink" Target="https://www.spglobal.com/market-intelligence/en/news-insights/research/iron-ore-to-play-key-role-in-a-decarbonized-future?utm_source=chatgpt.com" TargetMode="External"/><Relationship Id="rId34" Type="http://schemas.openxmlformats.org/officeDocument/2006/relationships/hyperlink" Target="https://usercontent.one/wp/www.itie-guinee.org/wp-content/uploads/2024/10/SIMANDOU-LOIS-PORTANT-AUTORISATION-DE-RATIFICATION-DES-CONVENTIONS-DE-CODEVELOPPEMENT-PROJET-DINFRAST-ET-AJUSTEMENTS-ALA-CONVENTION-MINIERE.pdf" TargetMode="External"/><Relationship Id="rId42" Type="http://schemas.openxmlformats.org/officeDocument/2006/relationships/image" Target="media/image5.png"/><Relationship Id="rId47" Type="http://schemas.openxmlformats.org/officeDocument/2006/relationships/image" Target="media/image7.png"/><Relationship Id="rId50" Type="http://schemas.openxmlformats.org/officeDocument/2006/relationships/image" Target="media/image10.png"/><Relationship Id="rId55" Type="http://schemas.openxmlformats.org/officeDocument/2006/relationships/hyperlink" Target="https://www.elibrary.imf.org/view/journals/002/2024/131/article-A001-en.xml"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hyperlink" Target="https://resourcecontracts.org/contract/ocds-591adf-9254500989/view" TargetMode="External"/><Relationship Id="rId11" Type="http://schemas.openxmlformats.org/officeDocument/2006/relationships/image" Target="media/image1.png"/><Relationship Id="rId24" Type="http://schemas.openxmlformats.org/officeDocument/2006/relationships/hyperlink" Target="https://cdn-rio.dataweavers.io/-/media/content/documents/invest/presentations/2023/rt-investor-seminar-2023-slides.pdf?rev=44327959c56646438e95a7cc821cb844" TargetMode="External"/><Relationship Id="rId32" Type="http://schemas.openxmlformats.org/officeDocument/2006/relationships/hyperlink" Target="https://resourcecontracts.org/contract/ocds-591adf-0641239644/view" TargetMode="External"/><Relationship Id="rId37" Type="http://schemas.openxmlformats.org/officeDocument/2006/relationships/hyperlink" Target="https://www.riotinto.com/en/news/releases/2023/simandou-iron-ore-project-update" TargetMode="External"/><Relationship Id="rId40" Type="http://schemas.openxmlformats.org/officeDocument/2006/relationships/hyperlink" Target="https://www.riotinto.com/en/invest/presentations/2023/copper-simandou-investor-seminar-2023" TargetMode="External"/><Relationship Id="rId45" Type="http://schemas.openxmlformats.org/officeDocument/2006/relationships/hyperlink" Target="https://dgb.gov.gn/wp-content/uploads/2024/11/Document-de-Programmation-Budgetaire-Pluriannuelle-2024-DPBP-2025-2027.pdf" TargetMode="External"/><Relationship Id="rId53" Type="http://schemas.openxmlformats.org/officeDocument/2006/relationships/hyperlink" Target="https://www.worldbank.org/en/country/guinea/overview"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global.com/market-intelligence/en/news-insights/research/consensus-price-forecasts-us-tariff-rollout-roils-metals-prices" TargetMode="External"/><Relationship Id="rId22" Type="http://schemas.openxmlformats.org/officeDocument/2006/relationships/hyperlink" Target="https://djj.com/seven-key-takeaways-from-singapore-iron-ore-forum-2025/?utm_source=chatgpt.com" TargetMode="External"/><Relationship Id="rId27" Type="http://schemas.openxmlformats.org/officeDocument/2006/relationships/hyperlink" Target="https://www.riotinto.com/-/media/Content/Documents/Sustainability/Ethics-and-integrity/Transparency/RT-Simandou-Amended-consolidated-basic-convention-EN.pdf" TargetMode="External"/><Relationship Id="rId30" Type="http://schemas.openxmlformats.org/officeDocument/2006/relationships/hyperlink" Target="https://resourcecontracts.org/contract/ocds-591adf-5043080054/view" TargetMode="External"/><Relationship Id="rId35" Type="http://schemas.openxmlformats.org/officeDocument/2006/relationships/hyperlink" Target="https://usercontent.one/wp/www.itie-guinee.org/wp-content/uploads/2024/10/SIMANDOU-LOIS-PORTANT-AUTORISATION-DE-RATIFICATION-DES-CONVENTIONS-DE-CODEVELOPPEMENT-PROJET-DINFRAST-ET-AJUSTEMENTS-ALA-CONVENTION-MINIERE.pdf" TargetMode="External"/><Relationship Id="rId43" Type="http://schemas.openxmlformats.org/officeDocument/2006/relationships/hyperlink" Target="https://www.sec.gov/Archives/edgar/data/863064/000162828024006512/ex96-4simandousxk1300trs.htm" TargetMode="External"/><Relationship Id="rId48" Type="http://schemas.openxmlformats.org/officeDocument/2006/relationships/image" Target="media/image8.png"/><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1.png"/><Relationship Id="rId3" Type="http://schemas.openxmlformats.org/officeDocument/2006/relationships/customXml" Target="../customXml/item3.xml"/><Relationship Id="rId12" Type="http://schemas.openxmlformats.org/officeDocument/2006/relationships/hyperlink" Target="https://www.onlinedoctranslator.com/fr/?utm_source=onlinedoctranslator&amp;utm_medium=docx&amp;utm_campaign=attribution" TargetMode="External"/><Relationship Id="rId17" Type="http://schemas.openxmlformats.org/officeDocument/2006/relationships/hyperlink" Target="https://www.spglobal.com/market-intelligence/en/news-insights/research/iron-ore-to-play-key-role-in-a-decarbonized-future" TargetMode="External"/><Relationship Id="rId25" Type="http://schemas.openxmlformats.org/officeDocument/2006/relationships/image" Target="media/image4.jpg"/><Relationship Id="rId33" Type="http://schemas.openxmlformats.org/officeDocument/2006/relationships/hyperlink" Target="https://resourcecontracts.org/contract/ocds-591adf-0641239644/view" TargetMode="External"/><Relationship Id="rId38" Type="http://schemas.openxmlformats.org/officeDocument/2006/relationships/hyperlink" Target="https://www.riotinto.com/en/news/releases/2024/conditions-on-simandou-investment-now-satisfied" TargetMode="External"/><Relationship Id="rId46" Type="http://schemas.openxmlformats.org/officeDocument/2006/relationships/image" Target="media/image6.png"/><Relationship Id="rId59" Type="http://schemas.openxmlformats.org/officeDocument/2006/relationships/theme" Target="theme/theme1.xml"/><Relationship Id="rId20" Type="http://schemas.openxmlformats.org/officeDocument/2006/relationships/hyperlink" Target="https://www.spglobal.com/market-intelligence/en/news-insights/research/2025/09/simandou-iron-ore-project-a-game-changer-for-global-supply?utm_source=chatgpt.com" TargetMode="External"/><Relationship Id="rId41" Type="http://schemas.openxmlformats.org/officeDocument/2006/relationships/hyperlink" Target="https://www.riotinto.com/en/news/releases/2023/simandou-iron-ore-project-update" TargetMode="External"/><Relationship Id="rId54" Type="http://schemas.openxmlformats.org/officeDocument/2006/relationships/hyperlink" Target="https://simandou2040.gn/"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spglobal.com/market-intelligence/en/news-insights/research/consensus-price-forecasts-us-tariff-rollout-roils-metals-prices" TargetMode="External"/><Relationship Id="rId23" Type="http://schemas.openxmlformats.org/officeDocument/2006/relationships/hyperlink" Target="https://www.spglobal.com/market-intelligence/en/news-insights/research/iron-ore-to-play-key-role-in-a-decarbonized-future" TargetMode="External"/><Relationship Id="rId28" Type="http://schemas.openxmlformats.org/officeDocument/2006/relationships/hyperlink" Target="https://resourcecontracts.org/contract/ocds-591adf-9254500989/view" TargetMode="External"/><Relationship Id="rId36" Type="http://schemas.openxmlformats.org/officeDocument/2006/relationships/hyperlink" Target="https://www.riotinto.com/en/invest/presentations/2023/copper-simandou-investor-seminar-2023" TargetMode="External"/><Relationship Id="rId49" Type="http://schemas.openxmlformats.org/officeDocument/2006/relationships/image" Target="media/image9.png"/><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resourcecontracts.org/contract/ocds-591adf-5043080054/view" TargetMode="External"/><Relationship Id="rId44" Type="http://schemas.openxmlformats.org/officeDocument/2006/relationships/hyperlink" Target="https://mbudget.gov.gn/wp-content/uploads/loi-de-finances-en-vigueur.pdf" TargetMode="External"/><Relationship Id="rId52" Type="http://schemas.openxmlformats.org/officeDocument/2006/relationships/image" Target="media/image12.png"/><Relationship Id="rId60" Type="http://schemas.microsoft.com/office/2020/10/relationships/intelligence" Target="intelligence2.xml"/></Relationships>
</file>

<file path=word/_rels/header2.xml.rels><?xml version="1.0" encoding="UTF-8" standalone="yes"?>
<Relationships xmlns="http://schemas.openxmlformats.org/package/2006/relationships"><Relationship Id="rId2" Type="http://schemas.openxmlformats.org/officeDocument/2006/relationships/image" Target="media/image14.jpg"/><Relationship Id="rId1" Type="http://schemas.openxmlformats.org/officeDocument/2006/relationships/image" Target="media/image13.emf"/></Relationships>
</file>

<file path=word/_rels/settings.xml.rels><?xml version="1.0" encoding="UTF-8" standalone="yes"?>
<Relationships xmlns="http://schemas.openxmlformats.org/package/2006/relationships"><Relationship Id="rId1" Type="http://schemas.openxmlformats.org/officeDocument/2006/relationships/attachedTemplate" Target="file:///C:\Maler\Memo%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pc="http://schemas.microsoft.com/office/infopath/2007/PartnerControls" xmlns:xsi="http://www.w3.org/2001/XMLSchema-instance">
  <documentManagement>
    <Theme xmlns="0c958bcd-fe3d-4310-8463-0016d19558cc" xsi:nil="true"/>
    <lcf76f155ced4ddcb4097134ff3c332f xmlns="0c958bcd-fe3d-4310-8463-0016d19558cc">
      <Terms xmlns="http://schemas.microsoft.com/office/infopath/2007/PartnerControls"/>
    </lcf76f155ced4ddcb4097134ff3c332f>
    <TaxCatchAll xmlns="36538d5f-f7e1-46e7-b8e6-8d0f62ce9765" xsi:nil="true"/>
    <Comment xmlns="0c958bcd-fe3d-4310-8463-0016d19558c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F08D2786879A84C98C986A1D2FE2AC0" ma:contentTypeVersion="20" ma:contentTypeDescription="Create a new document." ma:contentTypeScope="" ma:versionID="c616d1ee0604e2853d16dbd1c89e1b3d">
  <xsd:schema xmlns:xsd="http://www.w3.org/2001/XMLSchema" xmlns:xs="http://www.w3.org/2001/XMLSchema" xmlns:p="http://schemas.microsoft.com/office/2006/metadata/properties" xmlns:ns2="0c958bcd-fe3d-4310-8463-0016d19558cc" xmlns:ns3="36538d5f-f7e1-46e7-b8e6-8d0f62ce9765" targetNamespace="http://schemas.microsoft.com/office/2006/metadata/properties" ma:root="true" ma:fieldsID="8e05f36c52719b98f3240589341bf2d2" ns2:_="" ns3:_="">
    <xsd:import namespace="0c958bcd-fe3d-4310-8463-0016d19558cc"/>
    <xsd:import namespace="36538d5f-f7e1-46e7-b8e6-8d0f62ce97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Theme" minOccurs="0"/>
                <xsd:element ref="ns2:MediaServiceLocation" minOccurs="0"/>
                <xsd:element ref="ns2:MediaLengthInSeconds" minOccurs="0"/>
                <xsd:element ref="ns2:lcf76f155ced4ddcb4097134ff3c332f" minOccurs="0"/>
                <xsd:element ref="ns3:TaxCatchAll" minOccurs="0"/>
                <xsd:element ref="ns2:Comment"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958bcd-fe3d-4310-8463-0016d19558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Theme" ma:index="18" nillable="true" ma:displayName="Theme" ma:format="Dropdown" ma:internalName="Theme">
      <xsd:simpleType>
        <xsd:restriction base="dms:Choice">
          <xsd:enumeration value="Open data"/>
          <xsd:enumeration value="PLR"/>
          <xsd:enumeration value="SOE"/>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b58f297-623d-4bc9-82bf-53ab639f8509" ma:termSetId="09814cd3-568e-fe90-9814-8d621ff8fb84" ma:anchorId="fba54fb3-c3e1-fe81-a776-ca4b69148c4d" ma:open="true" ma:isKeyword="false">
      <xsd:complexType>
        <xsd:sequence>
          <xsd:element ref="pc:Terms" minOccurs="0" maxOccurs="1"/>
        </xsd:sequence>
      </xsd:complexType>
    </xsd:element>
    <xsd:element name="Comment" ma:index="24" nillable="true" ma:displayName="Comment" ma:format="Dropdown" ma:internalName="Comment">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538d5f-f7e1-46e7-b8e6-8d0f62ce97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0a0ff55-7480-47fc-9a71-2ff78008c716}" ma:internalName="TaxCatchAll" ma:showField="CatchAllData" ma:web="36538d5f-f7e1-46e7-b8e6-8d0f62ce976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FFFAC5-DE6B-4737-9F51-698482978141}">
  <ds:schemaRefs>
    <ds:schemaRef ds:uri="http://schemas.microsoft.com/office/2006/metadata/properties"/>
    <ds:schemaRef ds:uri="http://schemas.microsoft.com/office/infopath/2007/PartnerControls"/>
    <ds:schemaRef ds:uri="0c958bcd-fe3d-4310-8463-0016d19558cc"/>
    <ds:schemaRef ds:uri="36538d5f-f7e1-46e7-b8e6-8d0f62ce9765"/>
  </ds:schemaRefs>
</ds:datastoreItem>
</file>

<file path=customXml/itemProps2.xml><?xml version="1.0" encoding="utf-8"?>
<ds:datastoreItem xmlns:ds="http://schemas.openxmlformats.org/officeDocument/2006/customXml" ds:itemID="{1C5A8C27-148A-43AC-8C1F-8472D0F4F56C}">
  <ds:schemaRefs>
    <ds:schemaRef ds:uri="http://schemas.microsoft.com/sharepoint/v3/contenttype/forms"/>
  </ds:schemaRefs>
</ds:datastoreItem>
</file>

<file path=customXml/itemProps3.xml><?xml version="1.0" encoding="utf-8"?>
<ds:datastoreItem xmlns:ds="http://schemas.openxmlformats.org/officeDocument/2006/customXml" ds:itemID="{25EE500C-6E33-4A31-B4BB-2235820336C7}">
  <ds:schemaRefs>
    <ds:schemaRef ds:uri="http://schemas.openxmlformats.org/officeDocument/2006/bibliography"/>
  </ds:schemaRefs>
</ds:datastoreItem>
</file>

<file path=customXml/itemProps4.xml><?xml version="1.0" encoding="utf-8"?>
<ds:datastoreItem xmlns:ds="http://schemas.openxmlformats.org/officeDocument/2006/customXml" ds:itemID="{7F75D0FD-B824-45AC-AC28-AC4D848308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958bcd-fe3d-4310-8463-0016d19558cc"/>
    <ds:schemaRef ds:uri="36538d5f-f7e1-46e7-b8e6-8d0f62ce9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Memo template</Template>
  <TotalTime>568</TotalTime>
  <Pages>18</Pages>
  <Words>5938</Words>
  <Characters>32662</Characters>
  <Application>Microsoft Office Word</Application>
  <DocSecurity>0</DocSecurity>
  <Lines>272</Lines>
  <Paragraphs>77</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38523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Alioune Badara PAYE</dc:creator>
  <cp:keywords/>
  <dc:description/>
  <cp:lastModifiedBy>Alioune Badara PAYE</cp:lastModifiedBy>
  <cp:revision>4</cp:revision>
  <cp:lastPrinted>2025-12-17T03:27:00Z</cp:lastPrinted>
  <dcterms:created xsi:type="dcterms:W3CDTF">2025-12-17T03:28:00Z</dcterms:created>
  <dcterms:modified xsi:type="dcterms:W3CDTF">2025-12-17T16:40:00Z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0x010100AF08D2786879A84C98C986A1D2FE2AC0</vt:lpwstr>
  </property>
  <property fmtid="{D5CDD505-2E9C-101B-9397-08002B2CF9AE}" pid="3" name="_DocHome">
    <vt:i4>1660446864</vt:i4>
  </property>
  <property fmtid="{D5CDD505-2E9C-101B-9397-08002B2CF9AE}" pid="4" name="MediaServiceImageTags">
    <vt:lpwstr/>
  </property>
</Properties>
</file>